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155B57">
      <w:pPr>
        <w:spacing w:before="240" w:after="240" w:line="500" w:lineRule="exact"/>
        <w:ind w:firstLine="643" w:firstLineChars="200"/>
        <w:jc w:val="center"/>
        <w:rPr>
          <w:rFonts w:eastAsia="楷体_GB2312"/>
          <w:b/>
          <w:bCs/>
          <w:sz w:val="32"/>
          <w:szCs w:val="32"/>
        </w:rPr>
      </w:pPr>
      <w:bookmarkStart w:id="8" w:name="_GoBack"/>
      <w:r>
        <w:rPr>
          <w:rFonts w:hint="eastAsia" w:eastAsia="楷体_GB2312"/>
          <w:b/>
          <w:bCs/>
          <w:sz w:val="32"/>
          <w:szCs w:val="32"/>
        </w:rPr>
        <w:t>中心停车场管理项目</w:t>
      </w:r>
      <w:r>
        <w:rPr>
          <w:rFonts w:eastAsia="楷体_GB2312"/>
          <w:b/>
          <w:bCs/>
          <w:sz w:val="32"/>
          <w:szCs w:val="32"/>
        </w:rPr>
        <w:t>磋商</w:t>
      </w:r>
      <w:r>
        <w:rPr>
          <w:rFonts w:hint="eastAsia" w:eastAsia="楷体_GB2312"/>
          <w:b/>
          <w:bCs/>
          <w:sz w:val="32"/>
          <w:szCs w:val="32"/>
        </w:rPr>
        <w:t>公告</w:t>
      </w:r>
      <w:bookmarkEnd w:id="8"/>
    </w:p>
    <w:p w14:paraId="3B5E0A1F">
      <w:pPr>
        <w:snapToGrid w:val="0"/>
        <w:spacing w:line="380" w:lineRule="exact"/>
        <w:ind w:firstLine="480" w:firstLineChars="200"/>
        <w:rPr>
          <w:rFonts w:hint="eastAsia" w:ascii="宋体" w:hAnsi="宋体" w:cs="宋体"/>
          <w:color w:val="333333"/>
          <w:sz w:val="24"/>
          <w:szCs w:val="24"/>
          <w:shd w:val="clear" w:color="auto" w:fill="FFFFFF"/>
        </w:rPr>
      </w:pPr>
      <w:bookmarkStart w:id="0" w:name="_Toc178668980"/>
      <w:bookmarkStart w:id="1" w:name="_Toc69286635"/>
      <w:bookmarkStart w:id="2" w:name="_Toc87670364"/>
      <w:bookmarkStart w:id="3" w:name="_Toc69286125"/>
      <w:bookmarkStart w:id="4" w:name="_Toc69702133"/>
      <w:r>
        <w:rPr>
          <w:rFonts w:hint="eastAsia" w:ascii="宋体" w:hAnsi="宋体" w:cs="宋体"/>
          <w:color w:val="000000"/>
          <w:sz w:val="24"/>
          <w:szCs w:val="24"/>
          <w:shd w:val="clear" w:color="auto" w:fill="FFFFFF"/>
        </w:rPr>
        <w:t>浙江康复医疗中心对</w:t>
      </w:r>
      <w:r>
        <w:rPr>
          <w:rFonts w:hint="eastAsia" w:ascii="宋体" w:hAnsi="宋体" w:cs="宋体"/>
          <w:color w:val="333333"/>
          <w:sz w:val="24"/>
          <w:szCs w:val="24"/>
          <w:u w:val="single"/>
          <w:shd w:val="clear" w:color="auto" w:fill="FFFFFF"/>
        </w:rPr>
        <w:t>停车场管理</w:t>
      </w:r>
      <w:r>
        <w:rPr>
          <w:rFonts w:hint="eastAsia" w:ascii="宋体" w:hAnsi="宋体" w:cs="宋体"/>
          <w:color w:val="000000"/>
          <w:sz w:val="24"/>
          <w:szCs w:val="24"/>
          <w:shd w:val="clear" w:color="auto" w:fill="FFFFFF"/>
        </w:rPr>
        <w:t>项目进行</w:t>
      </w:r>
      <w:r>
        <w:rPr>
          <w:rFonts w:ascii="宋体" w:hAnsi="宋体" w:cs="宋体"/>
          <w:color w:val="000000"/>
          <w:sz w:val="24"/>
          <w:szCs w:val="24"/>
          <w:shd w:val="clear" w:color="auto" w:fill="FFFFFF"/>
        </w:rPr>
        <w:t>磋商</w:t>
      </w:r>
      <w:r>
        <w:rPr>
          <w:rFonts w:hint="eastAsia" w:ascii="宋体" w:hAnsi="宋体" w:cs="宋体"/>
          <w:color w:val="000000"/>
          <w:sz w:val="24"/>
          <w:szCs w:val="24"/>
          <w:shd w:val="clear" w:color="auto" w:fill="FFFFFF"/>
        </w:rPr>
        <w:t>，选择承包单位，</w:t>
      </w:r>
      <w:r>
        <w:rPr>
          <w:rFonts w:hint="eastAsia" w:ascii="宋体" w:hAnsi="宋体" w:cs="宋体"/>
          <w:color w:val="333333"/>
          <w:sz w:val="24"/>
          <w:szCs w:val="24"/>
          <w:shd w:val="clear" w:color="auto" w:fill="FFFFFF"/>
        </w:rPr>
        <w:t>在满足全部要求的条件下，以综合评分最高确定为供应商。</w:t>
      </w:r>
    </w:p>
    <w:p w14:paraId="21B72839">
      <w:pPr>
        <w:snapToGrid w:val="0"/>
        <w:spacing w:line="380" w:lineRule="exact"/>
        <w:ind w:firstLine="422" w:firstLineChars="200"/>
        <w:rPr>
          <w:rFonts w:hint="eastAsia" w:ascii="宋体" w:hAnsi="宋体" w:cs="Arial"/>
          <w:szCs w:val="21"/>
        </w:rPr>
      </w:pPr>
      <w:r>
        <w:rPr>
          <w:rFonts w:hint="eastAsia" w:ascii="宋体" w:hAnsi="宋体" w:cs="Arial"/>
          <w:b/>
          <w:szCs w:val="21"/>
        </w:rPr>
        <w:t>一、采购项目编号：</w:t>
      </w:r>
    </w:p>
    <w:p w14:paraId="0A8EC7D6">
      <w:pPr>
        <w:snapToGrid w:val="0"/>
        <w:spacing w:line="380" w:lineRule="exact"/>
        <w:ind w:firstLine="422" w:firstLineChars="200"/>
        <w:rPr>
          <w:rFonts w:hint="eastAsia" w:ascii="宋体" w:hAnsi="宋体"/>
          <w:szCs w:val="21"/>
        </w:rPr>
      </w:pPr>
      <w:r>
        <w:rPr>
          <w:rFonts w:hint="eastAsia" w:ascii="宋体" w:hAnsi="宋体" w:cs="Arial"/>
          <w:b/>
          <w:szCs w:val="21"/>
        </w:rPr>
        <w:t>二、项目名称:</w:t>
      </w:r>
      <w:r>
        <w:rPr>
          <w:rFonts w:hint="eastAsia" w:ascii="宋体" w:hAnsi="宋体"/>
          <w:szCs w:val="21"/>
        </w:rPr>
        <w:t xml:space="preserve"> 停车场管理</w:t>
      </w:r>
    </w:p>
    <w:p w14:paraId="229507E7">
      <w:pPr>
        <w:snapToGrid w:val="0"/>
        <w:spacing w:line="380" w:lineRule="exact"/>
        <w:ind w:firstLine="422" w:firstLineChars="200"/>
        <w:rPr>
          <w:rFonts w:hint="eastAsia" w:ascii="宋体" w:hAnsi="宋体"/>
          <w:szCs w:val="21"/>
        </w:rPr>
      </w:pPr>
      <w:r>
        <w:rPr>
          <w:rFonts w:hint="eastAsia" w:ascii="宋体" w:hAnsi="宋体"/>
          <w:b/>
          <w:bCs/>
          <w:szCs w:val="21"/>
        </w:rPr>
        <w:t>三、采购方式</w:t>
      </w:r>
      <w:r>
        <w:rPr>
          <w:rFonts w:hint="eastAsia" w:ascii="宋体" w:hAnsi="宋体"/>
          <w:szCs w:val="21"/>
        </w:rPr>
        <w:t>：院内</w:t>
      </w:r>
      <w:r>
        <w:rPr>
          <w:rFonts w:ascii="宋体" w:hAnsi="宋体"/>
          <w:szCs w:val="21"/>
        </w:rPr>
        <w:t>磋商</w:t>
      </w:r>
    </w:p>
    <w:p w14:paraId="4A5CF45F">
      <w:pPr>
        <w:pStyle w:val="23"/>
        <w:spacing w:after="0" w:afterLines="0" w:line="380" w:lineRule="exact"/>
        <w:ind w:firstLine="422"/>
        <w:rPr>
          <w:rFonts w:hint="eastAsia" w:ascii="宋体" w:hAnsi="宋体" w:cs="Arial"/>
          <w:kern w:val="2"/>
          <w:sz w:val="21"/>
          <w:szCs w:val="21"/>
        </w:rPr>
      </w:pPr>
      <w:r>
        <w:rPr>
          <w:rFonts w:hint="eastAsia" w:ascii="宋体" w:hAnsi="宋体" w:cs="Arial"/>
          <w:b/>
          <w:kern w:val="2"/>
          <w:sz w:val="21"/>
          <w:szCs w:val="21"/>
        </w:rPr>
        <w:t>四、采购项目概况：见附件1采购需求</w:t>
      </w:r>
    </w:p>
    <w:p w14:paraId="6B17B6FA">
      <w:pPr>
        <w:pStyle w:val="23"/>
        <w:spacing w:after="0" w:afterLines="0" w:line="380" w:lineRule="exact"/>
        <w:ind w:firstLine="422"/>
        <w:rPr>
          <w:rFonts w:hint="eastAsia" w:ascii="宋体" w:hAnsi="宋体" w:cs="Arial"/>
          <w:b/>
          <w:kern w:val="2"/>
          <w:sz w:val="21"/>
          <w:szCs w:val="21"/>
        </w:rPr>
      </w:pPr>
      <w:r>
        <w:rPr>
          <w:rFonts w:hint="eastAsia" w:ascii="宋体" w:hAnsi="宋体" w:cs="Arial"/>
          <w:b/>
          <w:kern w:val="2"/>
          <w:sz w:val="21"/>
          <w:szCs w:val="21"/>
        </w:rPr>
        <w:t>五、投标人资格要求：</w:t>
      </w:r>
    </w:p>
    <w:p w14:paraId="07D38631">
      <w:pPr>
        <w:pStyle w:val="23"/>
        <w:tabs>
          <w:tab w:val="left" w:pos="1890"/>
        </w:tabs>
        <w:spacing w:afterLines="0" w:line="380" w:lineRule="exact"/>
        <w:ind w:firstLine="420"/>
        <w:rPr>
          <w:rFonts w:hint="eastAsia" w:ascii="宋体" w:hAnsi="宋体" w:cs="Arial"/>
          <w:kern w:val="2"/>
          <w:sz w:val="21"/>
          <w:szCs w:val="21"/>
        </w:rPr>
      </w:pPr>
      <w:r>
        <w:rPr>
          <w:rFonts w:hint="eastAsia" w:ascii="宋体" w:hAnsi="宋体" w:cs="Arial"/>
          <w:kern w:val="2"/>
          <w:sz w:val="21"/>
          <w:szCs w:val="21"/>
        </w:rPr>
        <w:t>在中华人民共和国境内注册，具有独立法人资格、独立承担民事责任合履行合同的能力，具有良好的商业信誉和健全的财务会计制度，有依法缴纳税收和社会保障资金的良好记录，在近三年内的经营活动中没有重大违法记录（需提供信用中国及中国政府采购网截图或报告）。</w:t>
      </w:r>
    </w:p>
    <w:p w14:paraId="58CFB288">
      <w:pPr>
        <w:pStyle w:val="23"/>
        <w:spacing w:after="0" w:afterLines="0" w:line="380" w:lineRule="exact"/>
        <w:ind w:firstLine="422"/>
        <w:rPr>
          <w:rFonts w:hint="eastAsia" w:ascii="宋体" w:hAnsi="宋体" w:cs="Arial"/>
          <w:b/>
          <w:bCs/>
          <w:kern w:val="2"/>
          <w:sz w:val="21"/>
          <w:szCs w:val="21"/>
        </w:rPr>
      </w:pPr>
      <w:r>
        <w:rPr>
          <w:rFonts w:hint="eastAsia" w:ascii="宋体" w:hAnsi="宋体" w:cs="Arial"/>
          <w:b/>
          <w:bCs/>
          <w:kern w:val="2"/>
          <w:sz w:val="21"/>
          <w:szCs w:val="21"/>
        </w:rPr>
        <w:t>六、供应商报名时间及联系方式等：</w:t>
      </w:r>
    </w:p>
    <w:p w14:paraId="3300F61B">
      <w:pPr>
        <w:pStyle w:val="23"/>
        <w:spacing w:after="0" w:afterLines="0" w:line="380" w:lineRule="exact"/>
        <w:ind w:firstLine="420"/>
        <w:rPr>
          <w:rFonts w:hint="eastAsia" w:ascii="宋体" w:hAnsi="宋体" w:cs="Arial"/>
          <w:kern w:val="2"/>
          <w:sz w:val="21"/>
          <w:szCs w:val="21"/>
        </w:rPr>
      </w:pPr>
      <w:r>
        <w:rPr>
          <w:rFonts w:hint="eastAsia" w:ascii="宋体" w:hAnsi="宋体" w:cs="Arial"/>
          <w:kern w:val="2"/>
          <w:sz w:val="21"/>
          <w:szCs w:val="21"/>
        </w:rPr>
        <w:t>报名时间：2025年3月27日至2025年</w:t>
      </w:r>
      <w:r>
        <w:rPr>
          <w:rFonts w:ascii="宋体" w:hAnsi="宋体" w:cs="Arial"/>
          <w:kern w:val="2"/>
          <w:sz w:val="21"/>
          <w:szCs w:val="21"/>
        </w:rPr>
        <w:t>4</w:t>
      </w:r>
      <w:r>
        <w:rPr>
          <w:rFonts w:hint="eastAsia" w:ascii="宋体" w:hAnsi="宋体" w:cs="Arial"/>
          <w:kern w:val="2"/>
          <w:sz w:val="21"/>
          <w:szCs w:val="21"/>
        </w:rPr>
        <w:t>月</w:t>
      </w:r>
      <w:r>
        <w:rPr>
          <w:rFonts w:ascii="宋体" w:hAnsi="宋体" w:cs="Arial"/>
          <w:kern w:val="2"/>
          <w:sz w:val="21"/>
          <w:szCs w:val="21"/>
        </w:rPr>
        <w:t>2</w:t>
      </w:r>
      <w:r>
        <w:rPr>
          <w:rFonts w:hint="eastAsia" w:ascii="宋体" w:hAnsi="宋体" w:cs="Arial"/>
          <w:kern w:val="2"/>
          <w:sz w:val="21"/>
          <w:szCs w:val="21"/>
        </w:rPr>
        <w:t>日（工作日）</w:t>
      </w:r>
    </w:p>
    <w:p w14:paraId="46EE3676">
      <w:pPr>
        <w:pStyle w:val="23"/>
        <w:spacing w:after="0" w:afterLines="0" w:line="380" w:lineRule="exact"/>
        <w:ind w:firstLine="420"/>
        <w:rPr>
          <w:rFonts w:hint="eastAsia" w:ascii="宋体" w:hAnsi="宋体" w:cs="Arial"/>
          <w:kern w:val="2"/>
          <w:sz w:val="21"/>
          <w:szCs w:val="21"/>
        </w:rPr>
      </w:pPr>
      <w:r>
        <w:rPr>
          <w:rFonts w:hint="eastAsia" w:ascii="宋体" w:hAnsi="宋体" w:cs="Arial"/>
          <w:kern w:val="2"/>
          <w:sz w:val="21"/>
          <w:szCs w:val="21"/>
        </w:rPr>
        <w:t>上午：08:00-11:30，下午：13:30-17:00</w:t>
      </w:r>
    </w:p>
    <w:p w14:paraId="3BAC1FBD">
      <w:pPr>
        <w:pStyle w:val="23"/>
        <w:spacing w:after="0" w:afterLines="0" w:line="380" w:lineRule="exact"/>
        <w:ind w:firstLine="420"/>
        <w:rPr>
          <w:rFonts w:hint="eastAsia" w:ascii="宋体" w:hAnsi="宋体" w:cs="Arial"/>
          <w:kern w:val="2"/>
          <w:sz w:val="21"/>
          <w:szCs w:val="21"/>
        </w:rPr>
      </w:pPr>
      <w:r>
        <w:rPr>
          <w:rFonts w:hint="eastAsia" w:ascii="宋体" w:hAnsi="宋体" w:cs="Arial"/>
          <w:kern w:val="2"/>
          <w:sz w:val="21"/>
          <w:szCs w:val="21"/>
        </w:rPr>
        <w:t>联系人：计惠花</w:t>
      </w:r>
      <w:r>
        <w:rPr>
          <w:rFonts w:hint="eastAsia" w:ascii="宋体" w:hAnsi="宋体" w:cs="Arial"/>
          <w:kern w:val="2"/>
          <w:sz w:val="21"/>
          <w:szCs w:val="21"/>
          <w:lang w:eastAsia="zh-CN"/>
        </w:rPr>
        <w:t>，</w:t>
      </w:r>
      <w:r>
        <w:rPr>
          <w:rFonts w:hint="eastAsia" w:ascii="宋体" w:hAnsi="宋体" w:cs="Arial"/>
          <w:kern w:val="2"/>
          <w:sz w:val="21"/>
          <w:szCs w:val="21"/>
        </w:rPr>
        <w:t>联系电话：0571-86790875</w:t>
      </w:r>
    </w:p>
    <w:p w14:paraId="554A6B74">
      <w:pPr>
        <w:pStyle w:val="23"/>
        <w:spacing w:after="0" w:afterLines="0" w:line="380" w:lineRule="exact"/>
        <w:ind w:firstLine="420"/>
        <w:rPr>
          <w:rFonts w:hint="eastAsia" w:ascii="宋体" w:hAnsi="宋体" w:cs="Arial"/>
          <w:kern w:val="2"/>
          <w:sz w:val="21"/>
          <w:szCs w:val="21"/>
        </w:rPr>
      </w:pPr>
      <w:r>
        <w:rPr>
          <w:rFonts w:hint="eastAsia" w:ascii="宋体" w:hAnsi="宋体" w:cs="Arial"/>
          <w:kern w:val="2"/>
          <w:sz w:val="21"/>
          <w:szCs w:val="21"/>
        </w:rPr>
        <w:t>获取标书时须提交的文件资料：（1）法定代表人授权书（原件）；（2）被授权人身份证（复印件）；（3）有效的营业执照副本（法人证书）等复印件（复印件加盖单位公章）；（4）采购文件报名信息表。也可将上述报名材料扫描发送至664055219@qq.com 进行网上报名。未报名登记的,或在要求提交响应文件的截止时间后送达的响应文件，采购人有权拒收。</w:t>
      </w:r>
    </w:p>
    <w:p w14:paraId="23091A28">
      <w:pPr>
        <w:pStyle w:val="23"/>
        <w:spacing w:after="0" w:afterLines="0" w:line="380" w:lineRule="exact"/>
        <w:ind w:firstLine="422"/>
        <w:rPr>
          <w:rFonts w:hint="eastAsia" w:ascii="宋体" w:hAnsi="宋体" w:cs="Arial"/>
          <w:b/>
          <w:bCs/>
          <w:kern w:val="2"/>
          <w:sz w:val="21"/>
          <w:szCs w:val="21"/>
        </w:rPr>
      </w:pPr>
      <w:r>
        <w:rPr>
          <w:rFonts w:hint="eastAsia" w:ascii="宋体" w:hAnsi="宋体" w:cs="Arial"/>
          <w:b/>
          <w:bCs/>
          <w:kern w:val="2"/>
          <w:sz w:val="21"/>
          <w:szCs w:val="21"/>
        </w:rPr>
        <w:t>七、投标截止时间：2025年</w:t>
      </w:r>
      <w:r>
        <w:rPr>
          <w:rFonts w:ascii="宋体" w:hAnsi="宋体" w:cs="Arial"/>
          <w:b/>
          <w:bCs/>
          <w:kern w:val="2"/>
          <w:sz w:val="21"/>
          <w:szCs w:val="21"/>
        </w:rPr>
        <w:t>4</w:t>
      </w:r>
      <w:r>
        <w:rPr>
          <w:rFonts w:hint="eastAsia" w:ascii="宋体" w:hAnsi="宋体" w:cs="Arial"/>
          <w:b/>
          <w:bCs/>
          <w:kern w:val="2"/>
          <w:sz w:val="21"/>
          <w:szCs w:val="21"/>
        </w:rPr>
        <w:t>月</w:t>
      </w:r>
      <w:r>
        <w:rPr>
          <w:rFonts w:ascii="宋体" w:hAnsi="宋体" w:cs="Arial"/>
          <w:b/>
          <w:bCs/>
          <w:kern w:val="2"/>
          <w:sz w:val="21"/>
          <w:szCs w:val="21"/>
        </w:rPr>
        <w:t>3</w:t>
      </w:r>
      <w:r>
        <w:rPr>
          <w:rFonts w:hint="eastAsia" w:ascii="宋体" w:hAnsi="宋体" w:cs="Arial"/>
          <w:b/>
          <w:bCs/>
          <w:kern w:val="2"/>
          <w:sz w:val="21"/>
          <w:szCs w:val="21"/>
        </w:rPr>
        <w:t>日</w:t>
      </w:r>
      <w:r>
        <w:rPr>
          <w:rFonts w:ascii="宋体" w:hAnsi="宋体" w:cs="Arial"/>
          <w:b/>
          <w:bCs/>
          <w:kern w:val="2"/>
          <w:sz w:val="21"/>
          <w:szCs w:val="21"/>
        </w:rPr>
        <w:t>9</w:t>
      </w:r>
      <w:r>
        <w:rPr>
          <w:rFonts w:hint="eastAsia" w:ascii="宋体" w:hAnsi="宋体" w:cs="Arial"/>
          <w:b/>
          <w:bCs/>
          <w:kern w:val="2"/>
          <w:sz w:val="21"/>
          <w:szCs w:val="21"/>
        </w:rPr>
        <w:t>点</w:t>
      </w:r>
    </w:p>
    <w:p w14:paraId="2F3D4248">
      <w:pPr>
        <w:pStyle w:val="23"/>
        <w:spacing w:after="0" w:afterLines="0" w:line="380" w:lineRule="exact"/>
        <w:ind w:firstLine="420"/>
        <w:rPr>
          <w:rFonts w:hint="eastAsia" w:ascii="宋体" w:hAnsi="宋体" w:cs="Arial"/>
          <w:kern w:val="2"/>
          <w:sz w:val="21"/>
          <w:szCs w:val="21"/>
        </w:rPr>
      </w:pPr>
      <w:r>
        <w:rPr>
          <w:rFonts w:hint="eastAsia" w:ascii="宋体" w:hAnsi="宋体" w:cs="Arial"/>
          <w:kern w:val="2"/>
          <w:sz w:val="21"/>
          <w:szCs w:val="21"/>
        </w:rPr>
        <w:t>投标地点：滨江区滨盛路2828号号浙江康复医疗中行政楼601室</w:t>
      </w:r>
    </w:p>
    <w:p w14:paraId="5C247E26">
      <w:pPr>
        <w:pStyle w:val="23"/>
        <w:spacing w:after="0" w:afterLines="0" w:line="380" w:lineRule="exact"/>
        <w:ind w:firstLine="422"/>
        <w:rPr>
          <w:rFonts w:hint="eastAsia" w:ascii="宋体" w:hAnsi="宋体" w:cs="Arial"/>
          <w:b/>
          <w:bCs/>
          <w:kern w:val="2"/>
          <w:sz w:val="21"/>
          <w:szCs w:val="21"/>
        </w:rPr>
      </w:pPr>
      <w:r>
        <w:rPr>
          <w:rFonts w:hint="eastAsia" w:ascii="宋体" w:hAnsi="宋体" w:cs="Arial"/>
          <w:b/>
          <w:bCs/>
          <w:kern w:val="2"/>
          <w:sz w:val="21"/>
          <w:szCs w:val="21"/>
        </w:rPr>
        <w:t>八、开标时间：2025年</w:t>
      </w:r>
      <w:r>
        <w:rPr>
          <w:rFonts w:ascii="宋体" w:hAnsi="宋体" w:cs="Arial"/>
          <w:b/>
          <w:bCs/>
          <w:kern w:val="2"/>
          <w:sz w:val="21"/>
          <w:szCs w:val="21"/>
        </w:rPr>
        <w:t>4</w:t>
      </w:r>
      <w:r>
        <w:rPr>
          <w:rFonts w:hint="eastAsia" w:ascii="宋体" w:hAnsi="宋体" w:cs="Arial"/>
          <w:b/>
          <w:bCs/>
          <w:kern w:val="2"/>
          <w:sz w:val="21"/>
          <w:szCs w:val="21"/>
        </w:rPr>
        <w:t>月</w:t>
      </w:r>
      <w:r>
        <w:rPr>
          <w:rFonts w:ascii="宋体" w:hAnsi="宋体" w:cs="Arial"/>
          <w:b/>
          <w:bCs/>
          <w:kern w:val="2"/>
          <w:sz w:val="21"/>
          <w:szCs w:val="21"/>
        </w:rPr>
        <w:t>3</w:t>
      </w:r>
      <w:r>
        <w:rPr>
          <w:rFonts w:hint="eastAsia" w:ascii="宋体" w:hAnsi="宋体" w:cs="Arial"/>
          <w:b/>
          <w:bCs/>
          <w:kern w:val="2"/>
          <w:sz w:val="21"/>
          <w:szCs w:val="21"/>
        </w:rPr>
        <w:t>日</w:t>
      </w:r>
      <w:r>
        <w:rPr>
          <w:rFonts w:ascii="宋体" w:hAnsi="宋体" w:cs="Arial"/>
          <w:b/>
          <w:bCs/>
          <w:kern w:val="2"/>
          <w:sz w:val="21"/>
          <w:szCs w:val="21"/>
        </w:rPr>
        <w:t>9</w:t>
      </w:r>
      <w:r>
        <w:rPr>
          <w:rFonts w:hint="eastAsia" w:ascii="宋体" w:hAnsi="宋体" w:cs="Arial"/>
          <w:b/>
          <w:bCs/>
          <w:kern w:val="2"/>
          <w:sz w:val="21"/>
          <w:szCs w:val="21"/>
        </w:rPr>
        <w:t>点</w:t>
      </w:r>
    </w:p>
    <w:p w14:paraId="7F086845">
      <w:pPr>
        <w:pStyle w:val="23"/>
        <w:spacing w:after="0" w:afterLines="0" w:line="380" w:lineRule="exact"/>
        <w:ind w:firstLine="420"/>
        <w:rPr>
          <w:rFonts w:hint="eastAsia" w:ascii="宋体" w:hAnsi="宋体" w:cs="Arial"/>
          <w:kern w:val="2"/>
          <w:sz w:val="21"/>
          <w:szCs w:val="21"/>
        </w:rPr>
      </w:pPr>
      <w:r>
        <w:rPr>
          <w:rFonts w:hint="eastAsia" w:ascii="宋体" w:hAnsi="宋体" w:cs="Arial"/>
          <w:kern w:val="2"/>
          <w:sz w:val="21"/>
          <w:szCs w:val="21"/>
        </w:rPr>
        <w:t>开标地点：滨江区滨盛路2828号号浙江康复医疗中行政楼601室</w:t>
      </w:r>
    </w:p>
    <w:p w14:paraId="00951190">
      <w:pPr>
        <w:pStyle w:val="23"/>
        <w:spacing w:after="0" w:afterLines="0" w:line="380" w:lineRule="exact"/>
        <w:ind w:firstLine="422"/>
        <w:rPr>
          <w:rFonts w:hint="eastAsia" w:ascii="宋体" w:hAnsi="宋体" w:cs="Arial"/>
          <w:b/>
          <w:bCs/>
          <w:kern w:val="2"/>
          <w:sz w:val="21"/>
          <w:szCs w:val="21"/>
        </w:rPr>
      </w:pPr>
      <w:r>
        <w:rPr>
          <w:rFonts w:hint="eastAsia" w:ascii="宋体" w:hAnsi="宋体" w:cs="Arial"/>
          <w:b/>
          <w:bCs/>
          <w:kern w:val="2"/>
          <w:sz w:val="21"/>
          <w:szCs w:val="21"/>
        </w:rPr>
        <w:t>九、公告期限：自本公告发布之日起5个工作日</w:t>
      </w:r>
    </w:p>
    <w:p w14:paraId="71CF6367">
      <w:pPr>
        <w:pStyle w:val="23"/>
        <w:spacing w:after="0" w:afterLines="0" w:line="380" w:lineRule="exact"/>
        <w:ind w:firstLine="420"/>
        <w:rPr>
          <w:rFonts w:hint="eastAsia" w:ascii="宋体" w:hAnsi="宋体" w:cs="Arial"/>
          <w:kern w:val="2"/>
          <w:sz w:val="21"/>
          <w:szCs w:val="21"/>
        </w:rPr>
      </w:pPr>
      <w:r>
        <w:rPr>
          <w:rFonts w:hint="eastAsia" w:ascii="宋体" w:hAnsi="宋体" w:cs="Arial"/>
          <w:kern w:val="2"/>
          <w:sz w:val="21"/>
          <w:szCs w:val="21"/>
        </w:rPr>
        <w:t>十、★开标后需提交电子版标书一份(完整并盖章的扫描pdf格式)。</w:t>
      </w:r>
    </w:p>
    <w:p w14:paraId="3C25590F">
      <w:pPr>
        <w:pStyle w:val="23"/>
        <w:spacing w:after="0" w:afterLines="0" w:line="380" w:lineRule="exact"/>
        <w:ind w:firstLine="420"/>
        <w:rPr>
          <w:rFonts w:hint="eastAsia" w:ascii="宋体" w:hAnsi="宋体" w:cs="Arial"/>
          <w:kern w:val="2"/>
          <w:sz w:val="21"/>
          <w:szCs w:val="21"/>
        </w:rPr>
      </w:pPr>
      <w:r>
        <w:rPr>
          <w:rFonts w:hint="eastAsia" w:ascii="宋体" w:hAnsi="宋体" w:cs="Arial"/>
          <w:kern w:val="2"/>
          <w:sz w:val="21"/>
          <w:szCs w:val="21"/>
        </w:rPr>
        <w:t>十一、对本次采购提出询问、质疑、投诉，请按以下方式联系</w:t>
      </w:r>
    </w:p>
    <w:p w14:paraId="7FD67660">
      <w:pPr>
        <w:pStyle w:val="23"/>
        <w:spacing w:after="0" w:afterLines="0" w:line="380" w:lineRule="exact"/>
        <w:ind w:firstLine="420"/>
        <w:rPr>
          <w:rFonts w:hint="eastAsia" w:ascii="宋体" w:hAnsi="宋体" w:cs="Arial"/>
          <w:kern w:val="2"/>
          <w:sz w:val="21"/>
          <w:szCs w:val="21"/>
        </w:rPr>
      </w:pPr>
      <w:r>
        <w:rPr>
          <w:rFonts w:hint="eastAsia" w:ascii="宋体" w:hAnsi="宋体" w:cs="Arial"/>
          <w:kern w:val="2"/>
          <w:sz w:val="21"/>
          <w:szCs w:val="21"/>
        </w:rPr>
        <w:t>项目联系人（询问）：葛琦                   联系电话：0571-85102621</w:t>
      </w:r>
    </w:p>
    <w:p w14:paraId="61885096">
      <w:pPr>
        <w:pStyle w:val="23"/>
        <w:spacing w:after="0" w:afterLines="0" w:line="380" w:lineRule="exact"/>
        <w:ind w:firstLine="420"/>
        <w:rPr>
          <w:rFonts w:hint="eastAsia" w:ascii="宋体" w:hAnsi="宋体" w:cs="Arial"/>
          <w:kern w:val="2"/>
          <w:sz w:val="21"/>
          <w:szCs w:val="21"/>
        </w:rPr>
      </w:pPr>
      <w:r>
        <w:rPr>
          <w:rFonts w:hint="eastAsia" w:ascii="宋体" w:hAnsi="宋体" w:cs="Arial"/>
          <w:kern w:val="2"/>
          <w:sz w:val="21"/>
          <w:szCs w:val="21"/>
        </w:rPr>
        <w:t>质疑联系人：李姣俊                          联系电话：0571-86790875</w:t>
      </w:r>
    </w:p>
    <w:p w14:paraId="45887351">
      <w:pPr>
        <w:pStyle w:val="23"/>
        <w:spacing w:after="0" w:afterLines="0" w:line="380" w:lineRule="exact"/>
        <w:ind w:firstLine="420"/>
        <w:rPr>
          <w:rFonts w:hint="eastAsia" w:ascii="宋体" w:hAnsi="宋体" w:cs="Arial"/>
          <w:kern w:val="2"/>
          <w:sz w:val="21"/>
          <w:szCs w:val="21"/>
        </w:rPr>
      </w:pPr>
      <w:r>
        <w:rPr>
          <w:rFonts w:hint="eastAsia" w:ascii="宋体" w:hAnsi="宋体" w:cs="Arial"/>
          <w:kern w:val="2"/>
          <w:sz w:val="21"/>
          <w:szCs w:val="21"/>
        </w:rPr>
        <w:t>监督联系人：蔡红霞                          联系电话：0571-86794068</w:t>
      </w:r>
    </w:p>
    <w:p w14:paraId="1EBCC8B0">
      <w:pPr>
        <w:spacing w:before="240" w:after="240" w:line="360" w:lineRule="auto"/>
        <w:ind w:firstLine="420" w:firstLineChars="200"/>
        <w:jc w:val="right"/>
        <w:rPr>
          <w:rFonts w:hint="eastAsia" w:ascii="宋体" w:hAnsi="宋体" w:cs="Arial Unicode MS"/>
          <w:szCs w:val="21"/>
        </w:rPr>
        <w:sectPr>
          <w:headerReference r:id="rId5" w:type="default"/>
          <w:footerReference r:id="rId6" w:type="default"/>
          <w:pgSz w:w="11907" w:h="16840"/>
          <w:pgMar w:top="1134" w:right="1134" w:bottom="1134" w:left="1134" w:header="851" w:footer="851" w:gutter="0"/>
          <w:cols w:space="720" w:num="1"/>
          <w:docGrid w:linePitch="312" w:charSpace="0"/>
        </w:sectPr>
      </w:pPr>
      <w:bookmarkStart w:id="5" w:name="_Toc406402982"/>
      <w:r>
        <w:rPr>
          <w:rFonts w:hint="eastAsia" w:ascii="宋体" w:hAnsi="宋体" w:cs="Arial Unicode MS"/>
          <w:szCs w:val="21"/>
        </w:rPr>
        <w:t>2025年3月27日</w:t>
      </w:r>
    </w:p>
    <w:bookmarkEnd w:id="5"/>
    <w:p w14:paraId="4B6BCEBF">
      <w:pPr>
        <w:spacing w:line="360" w:lineRule="auto"/>
        <w:ind w:left="420" w:leftChars="200"/>
        <w:rPr>
          <w:rFonts w:hint="eastAsia" w:ascii="宋体" w:hAnsi="宋体" w:cs="宋体"/>
          <w:sz w:val="22"/>
          <w:szCs w:val="22"/>
        </w:rPr>
      </w:pPr>
      <w:r>
        <w:rPr>
          <w:rFonts w:hint="eastAsia" w:ascii="宋体" w:hAnsi="宋体" w:cs="宋体"/>
          <w:sz w:val="22"/>
          <w:szCs w:val="22"/>
        </w:rPr>
        <w:t>附件1：服务需求</w:t>
      </w:r>
    </w:p>
    <w:p w14:paraId="01E741D1">
      <w:pPr>
        <w:spacing w:line="360" w:lineRule="auto"/>
        <w:ind w:left="420" w:leftChars="200"/>
        <w:jc w:val="center"/>
        <w:rPr>
          <w:rFonts w:hint="eastAsia" w:ascii="宋体" w:hAnsi="宋体" w:cs="宋体"/>
          <w:b/>
          <w:bCs/>
          <w:sz w:val="24"/>
          <w:szCs w:val="24"/>
        </w:rPr>
      </w:pPr>
      <w:r>
        <w:rPr>
          <w:rFonts w:hint="eastAsia" w:ascii="宋体" w:hAnsi="宋体" w:cs="宋体"/>
          <w:b/>
          <w:bCs/>
          <w:sz w:val="24"/>
          <w:szCs w:val="24"/>
        </w:rPr>
        <w:t>停车场管理服务需求以及技术规范要求</w:t>
      </w:r>
    </w:p>
    <w:p w14:paraId="1FD4ACE5">
      <w:pPr>
        <w:spacing w:line="360" w:lineRule="auto"/>
        <w:ind w:left="420" w:leftChars="200"/>
        <w:rPr>
          <w:rFonts w:hint="eastAsia" w:ascii="宋体" w:hAnsi="宋体" w:cs="宋体"/>
          <w:sz w:val="22"/>
          <w:szCs w:val="22"/>
        </w:rPr>
      </w:pPr>
      <w:r>
        <w:rPr>
          <w:rFonts w:hint="eastAsia" w:ascii="宋体" w:hAnsi="宋体" w:cs="宋体"/>
          <w:sz w:val="22"/>
          <w:szCs w:val="22"/>
        </w:rPr>
        <w:t>一、</w:t>
      </w:r>
      <w:r>
        <w:rPr>
          <w:rFonts w:ascii="宋体" w:hAnsi="宋体" w:cs="宋体"/>
          <w:sz w:val="22"/>
          <w:szCs w:val="22"/>
        </w:rPr>
        <w:t>项目介绍</w:t>
      </w:r>
      <w:r>
        <w:rPr>
          <w:rFonts w:hint="eastAsia" w:ascii="宋体" w:hAnsi="宋体" w:cs="宋体"/>
          <w:sz w:val="22"/>
          <w:szCs w:val="22"/>
        </w:rPr>
        <w:t>:</w:t>
      </w:r>
    </w:p>
    <w:p w14:paraId="3CF988FD">
      <w:pPr>
        <w:spacing w:line="360" w:lineRule="auto"/>
        <w:ind w:firstLine="440" w:firstLineChars="200"/>
        <w:rPr>
          <w:rFonts w:hint="eastAsia" w:ascii="宋体" w:hAnsi="宋体" w:cs="宋体"/>
          <w:sz w:val="22"/>
          <w:szCs w:val="22"/>
        </w:rPr>
      </w:pPr>
      <w:r>
        <w:rPr>
          <w:rFonts w:hint="eastAsia" w:ascii="宋体" w:hAnsi="宋体" w:cs="宋体"/>
          <w:sz w:val="22"/>
          <w:szCs w:val="22"/>
        </w:rPr>
        <w:t>1、位于浙江省医疗中心停车场停车场拥有327个停车位（含地面和地下车库，机械车位155个其中地面65个，地下90个），地面车位承包（除北面立体车位及地面40个停车位）</w:t>
      </w:r>
      <w:r>
        <w:rPr>
          <w:rFonts w:ascii="宋体" w:hAnsi="宋体" w:cs="宋体"/>
          <w:sz w:val="22"/>
          <w:szCs w:val="22"/>
        </w:rPr>
        <w:t>共计124个</w:t>
      </w:r>
      <w:r>
        <w:rPr>
          <w:rFonts w:hint="eastAsia" w:ascii="宋体" w:hAnsi="宋体" w:cs="宋体"/>
          <w:sz w:val="22"/>
          <w:szCs w:val="22"/>
        </w:rPr>
        <w:t>，地下室车位代为管理。</w:t>
      </w:r>
    </w:p>
    <w:p w14:paraId="4C091A71">
      <w:pPr>
        <w:spacing w:line="360" w:lineRule="auto"/>
        <w:ind w:left="420" w:leftChars="200"/>
        <w:rPr>
          <w:rFonts w:hint="eastAsia" w:ascii="宋体" w:hAnsi="宋体" w:cs="宋体"/>
          <w:sz w:val="22"/>
          <w:szCs w:val="22"/>
        </w:rPr>
      </w:pPr>
      <w:r>
        <w:rPr>
          <w:rFonts w:hint="eastAsia" w:ascii="宋体" w:hAnsi="宋体" w:cs="宋体"/>
          <w:sz w:val="22"/>
          <w:szCs w:val="22"/>
        </w:rPr>
        <w:t>服务质量标准：</w:t>
      </w:r>
    </w:p>
    <w:p w14:paraId="1448344D">
      <w:pPr>
        <w:numPr>
          <w:ilvl w:val="0"/>
          <w:numId w:val="2"/>
        </w:numPr>
        <w:spacing w:line="360" w:lineRule="auto"/>
        <w:ind w:left="0" w:firstLine="440" w:firstLineChars="200"/>
        <w:rPr>
          <w:rFonts w:hint="eastAsia" w:ascii="宋体" w:hAnsi="宋体" w:cs="宋体"/>
          <w:sz w:val="22"/>
          <w:szCs w:val="22"/>
        </w:rPr>
      </w:pPr>
      <w:r>
        <w:rPr>
          <w:rFonts w:hint="eastAsia" w:ascii="宋体" w:hAnsi="宋体" w:cs="宋体"/>
          <w:sz w:val="22"/>
          <w:szCs w:val="22"/>
        </w:rPr>
        <w:t>对出入车辆按规定和程序指挥放行和收费，讲究文明服务，礼貌待人。</w:t>
      </w:r>
    </w:p>
    <w:p w14:paraId="310B19E2">
      <w:pPr>
        <w:numPr>
          <w:ilvl w:val="0"/>
          <w:numId w:val="2"/>
        </w:numPr>
        <w:spacing w:line="360" w:lineRule="auto"/>
        <w:ind w:left="0" w:firstLine="440" w:firstLineChars="200"/>
        <w:rPr>
          <w:rFonts w:hint="eastAsia" w:ascii="宋体" w:hAnsi="宋体" w:cs="宋体"/>
          <w:sz w:val="22"/>
          <w:szCs w:val="22"/>
        </w:rPr>
      </w:pPr>
      <w:r>
        <w:rPr>
          <w:rFonts w:hint="eastAsia" w:ascii="宋体" w:hAnsi="宋体" w:cs="宋体"/>
          <w:sz w:val="22"/>
          <w:szCs w:val="22"/>
        </w:rPr>
        <w:t>停车场入口设置机动车停车场标牌、收费价目牌、公示牌，公司内容应包括名称、开放时间、车型、监督举报电话等。 停车场地面应标出车行引导线，设置出入口标志或引导牌，并在显著位置设置平面示意图。</w:t>
      </w:r>
    </w:p>
    <w:p w14:paraId="11ECB784">
      <w:pPr>
        <w:numPr>
          <w:ilvl w:val="0"/>
          <w:numId w:val="2"/>
        </w:numPr>
        <w:spacing w:line="360" w:lineRule="auto"/>
        <w:ind w:left="0" w:firstLine="440" w:firstLineChars="200"/>
        <w:rPr>
          <w:rFonts w:hint="eastAsia" w:ascii="宋体" w:hAnsi="宋体" w:cs="宋体"/>
          <w:sz w:val="22"/>
          <w:szCs w:val="22"/>
        </w:rPr>
      </w:pPr>
      <w:r>
        <w:rPr>
          <w:rFonts w:hint="eastAsia" w:ascii="宋体" w:hAnsi="宋体" w:cs="宋体"/>
          <w:sz w:val="22"/>
          <w:szCs w:val="22"/>
        </w:rPr>
        <w:t>停车场内应设置消防设施，确保消防通道畅通。</w:t>
      </w:r>
    </w:p>
    <w:p w14:paraId="4148F036">
      <w:pPr>
        <w:numPr>
          <w:ilvl w:val="0"/>
          <w:numId w:val="2"/>
        </w:numPr>
        <w:spacing w:line="360" w:lineRule="auto"/>
        <w:ind w:left="0" w:firstLine="440" w:firstLineChars="200"/>
        <w:rPr>
          <w:rFonts w:hint="eastAsia" w:ascii="宋体" w:hAnsi="宋体" w:cs="宋体"/>
          <w:sz w:val="22"/>
          <w:szCs w:val="22"/>
        </w:rPr>
      </w:pPr>
      <w:r>
        <w:rPr>
          <w:rFonts w:hint="eastAsia" w:ascii="宋体" w:hAnsi="宋体" w:cs="宋体"/>
          <w:sz w:val="22"/>
          <w:szCs w:val="22"/>
        </w:rPr>
        <w:t>停车管理员应具备相关法律、法规、政策知识，能够正确知道车主停车，处理停车相关纠纷，并具备应急处理能力。</w:t>
      </w:r>
    </w:p>
    <w:p w14:paraId="2634165E">
      <w:pPr>
        <w:numPr>
          <w:ilvl w:val="0"/>
          <w:numId w:val="2"/>
        </w:numPr>
        <w:spacing w:line="360" w:lineRule="auto"/>
        <w:ind w:left="0" w:firstLine="440" w:firstLineChars="200"/>
        <w:rPr>
          <w:rFonts w:hint="eastAsia" w:ascii="宋体" w:hAnsi="宋体" w:cs="宋体"/>
          <w:sz w:val="22"/>
          <w:szCs w:val="22"/>
        </w:rPr>
      </w:pPr>
      <w:r>
        <w:rPr>
          <w:rFonts w:hint="eastAsia" w:ascii="宋体" w:hAnsi="宋体" w:cs="宋体"/>
          <w:sz w:val="22"/>
          <w:szCs w:val="22"/>
        </w:rPr>
        <w:t>停车场应按照政府指导价进行收费，并在显著位置公示收费标准。</w:t>
      </w:r>
    </w:p>
    <w:p w14:paraId="374AEA51">
      <w:pPr>
        <w:numPr>
          <w:ilvl w:val="0"/>
          <w:numId w:val="2"/>
        </w:numPr>
        <w:spacing w:line="360" w:lineRule="auto"/>
        <w:ind w:left="0" w:firstLine="440" w:firstLineChars="200"/>
        <w:rPr>
          <w:rFonts w:hint="eastAsia" w:ascii="宋体" w:hAnsi="宋体" w:cs="宋体"/>
          <w:sz w:val="22"/>
          <w:szCs w:val="22"/>
        </w:rPr>
      </w:pPr>
      <w:r>
        <w:rPr>
          <w:rFonts w:hint="eastAsia" w:ascii="宋体" w:hAnsi="宋体" w:cs="宋体"/>
          <w:sz w:val="22"/>
          <w:szCs w:val="22"/>
        </w:rPr>
        <w:t>停车场应制定应急预案，包括火灾、交通事故等突发事件的应对措施，确保在紧急情况下能够迅速响应和处理。</w:t>
      </w:r>
    </w:p>
    <w:p w14:paraId="500BFAEB">
      <w:pPr>
        <w:numPr>
          <w:ilvl w:val="0"/>
          <w:numId w:val="2"/>
        </w:numPr>
        <w:spacing w:line="360" w:lineRule="auto"/>
        <w:ind w:left="0" w:firstLine="440" w:firstLineChars="200"/>
        <w:rPr>
          <w:rFonts w:hint="eastAsia" w:ascii="宋体" w:hAnsi="宋体" w:cs="宋体"/>
          <w:sz w:val="22"/>
          <w:szCs w:val="22"/>
        </w:rPr>
      </w:pPr>
      <w:r>
        <w:rPr>
          <w:rFonts w:hint="eastAsia" w:ascii="宋体" w:hAnsi="宋体" w:cs="宋体"/>
          <w:sz w:val="22"/>
          <w:szCs w:val="22"/>
        </w:rPr>
        <w:t>立体车库应急演练服务</w:t>
      </w:r>
    </w:p>
    <w:p w14:paraId="76A5ECDF">
      <w:pPr>
        <w:spacing w:line="360" w:lineRule="auto"/>
        <w:ind w:left="420" w:leftChars="200"/>
        <w:rPr>
          <w:rFonts w:hint="eastAsia" w:ascii="宋体" w:hAnsi="宋体" w:cs="宋体"/>
          <w:sz w:val="22"/>
          <w:szCs w:val="22"/>
        </w:rPr>
      </w:pPr>
      <w:r>
        <w:rPr>
          <w:rFonts w:hint="eastAsia" w:ascii="宋体" w:hAnsi="宋体" w:cs="宋体"/>
          <w:sz w:val="22"/>
          <w:szCs w:val="22"/>
        </w:rPr>
        <w:t>2、停车场管理服务内容</w:t>
      </w:r>
    </w:p>
    <w:p w14:paraId="567D2F9B">
      <w:pPr>
        <w:spacing w:line="360" w:lineRule="auto"/>
        <w:ind w:left="420" w:leftChars="200"/>
        <w:rPr>
          <w:rFonts w:hint="eastAsia" w:ascii="宋体" w:hAnsi="宋体" w:cs="宋体"/>
          <w:sz w:val="22"/>
          <w:szCs w:val="22"/>
        </w:rPr>
      </w:pPr>
      <w:r>
        <w:rPr>
          <w:rFonts w:hint="eastAsia" w:ascii="宋体" w:hAnsi="宋体" w:cs="宋体"/>
          <w:sz w:val="22"/>
          <w:szCs w:val="22"/>
        </w:rPr>
        <w:t>服务质量标准：</w:t>
      </w:r>
    </w:p>
    <w:p w14:paraId="1B982C3F">
      <w:pPr>
        <w:spacing w:line="360" w:lineRule="auto"/>
        <w:ind w:left="420" w:leftChars="200"/>
        <w:rPr>
          <w:rFonts w:hint="eastAsia" w:ascii="宋体" w:hAnsi="宋体" w:cs="宋体"/>
          <w:sz w:val="22"/>
          <w:szCs w:val="22"/>
        </w:rPr>
      </w:pPr>
      <w:r>
        <w:rPr>
          <w:rFonts w:hint="eastAsia" w:ascii="宋体" w:hAnsi="宋体" w:cs="宋体"/>
          <w:sz w:val="22"/>
          <w:szCs w:val="22"/>
        </w:rPr>
        <w:t>（1）负责停车场的日产管理，包括停车收费、缴纳税款、车辆引导、人员管理、车辆摆放、停车位利用、停车收费设备的维修和保养等工作。</w:t>
      </w:r>
    </w:p>
    <w:p w14:paraId="37E625AF">
      <w:pPr>
        <w:spacing w:line="360" w:lineRule="auto"/>
        <w:ind w:left="420" w:leftChars="200"/>
        <w:rPr>
          <w:rFonts w:hint="eastAsia" w:ascii="宋体" w:hAnsi="宋体" w:cs="宋体"/>
          <w:sz w:val="22"/>
          <w:szCs w:val="22"/>
        </w:rPr>
      </w:pPr>
      <w:r>
        <w:rPr>
          <w:rFonts w:hint="eastAsia" w:ascii="宋体" w:hAnsi="宋体" w:cs="宋体"/>
          <w:sz w:val="22"/>
          <w:szCs w:val="22"/>
        </w:rPr>
        <w:t>（2）负责提高改善现有停车场出入口控制及收费系统。包括购买、安装、调试、维护系统所需的相关设备。</w:t>
      </w:r>
    </w:p>
    <w:p w14:paraId="13407847">
      <w:pPr>
        <w:spacing w:line="360" w:lineRule="auto"/>
        <w:ind w:left="420" w:leftChars="200"/>
        <w:rPr>
          <w:rFonts w:hint="eastAsia" w:ascii="宋体" w:hAnsi="宋体" w:cs="宋体"/>
          <w:sz w:val="22"/>
          <w:szCs w:val="22"/>
        </w:rPr>
      </w:pPr>
      <w:r>
        <w:rPr>
          <w:rFonts w:hint="eastAsia" w:ascii="宋体" w:hAnsi="宋体" w:cs="宋体"/>
          <w:sz w:val="22"/>
          <w:szCs w:val="22"/>
        </w:rPr>
        <w:t>（3）车辆收费系统设备进行升级或增添其他设备。</w:t>
      </w:r>
    </w:p>
    <w:p w14:paraId="2B52FD22">
      <w:pPr>
        <w:spacing w:line="360" w:lineRule="auto"/>
        <w:ind w:left="420" w:leftChars="200"/>
        <w:rPr>
          <w:rFonts w:hint="eastAsia" w:ascii="宋体" w:hAnsi="宋体" w:cs="宋体"/>
          <w:sz w:val="22"/>
          <w:szCs w:val="22"/>
        </w:rPr>
      </w:pPr>
      <w:r>
        <w:rPr>
          <w:rFonts w:hint="eastAsia" w:ascii="宋体" w:hAnsi="宋体" w:cs="宋体"/>
          <w:sz w:val="22"/>
          <w:szCs w:val="22"/>
        </w:rPr>
        <w:t>3.停车场服务管理需求：</w:t>
      </w:r>
    </w:p>
    <w:p w14:paraId="29C5C3D1">
      <w:pPr>
        <w:spacing w:line="360" w:lineRule="auto"/>
        <w:ind w:left="420" w:leftChars="200"/>
        <w:rPr>
          <w:rFonts w:hint="eastAsia" w:ascii="宋体" w:hAnsi="宋体" w:cs="宋体"/>
          <w:sz w:val="22"/>
          <w:szCs w:val="22"/>
        </w:rPr>
      </w:pPr>
      <w:r>
        <w:rPr>
          <w:rFonts w:hint="eastAsia" w:ascii="宋体" w:hAnsi="宋体" w:cs="宋体"/>
          <w:sz w:val="22"/>
          <w:szCs w:val="22"/>
        </w:rPr>
        <w:t>（1）提供近三年业绩；</w:t>
      </w:r>
    </w:p>
    <w:p w14:paraId="22F5E0D3">
      <w:pPr>
        <w:spacing w:line="360" w:lineRule="auto"/>
        <w:ind w:left="420" w:leftChars="200"/>
        <w:rPr>
          <w:rFonts w:hint="eastAsia" w:ascii="宋体" w:hAnsi="宋体" w:cs="宋体"/>
          <w:sz w:val="22"/>
          <w:szCs w:val="22"/>
        </w:rPr>
      </w:pPr>
      <w:r>
        <w:rPr>
          <w:rFonts w:hint="eastAsia" w:ascii="宋体" w:hAnsi="宋体" w:cs="宋体"/>
          <w:sz w:val="22"/>
          <w:szCs w:val="22"/>
        </w:rPr>
        <w:t>（2）5年总承包费不低于10万；</w:t>
      </w:r>
    </w:p>
    <w:p w14:paraId="4DBEC576">
      <w:pPr>
        <w:spacing w:line="360" w:lineRule="auto"/>
        <w:ind w:left="420" w:leftChars="200"/>
        <w:rPr>
          <w:rFonts w:hint="eastAsia" w:ascii="宋体" w:hAnsi="宋体" w:cs="宋体"/>
          <w:sz w:val="22"/>
          <w:szCs w:val="22"/>
        </w:rPr>
      </w:pPr>
      <w:r>
        <w:rPr>
          <w:rFonts w:hint="eastAsia" w:ascii="宋体" w:hAnsi="宋体" w:cs="宋体"/>
          <w:sz w:val="22"/>
          <w:szCs w:val="22"/>
        </w:rPr>
        <w:t>（3）停车管理员人数不少于4人；</w:t>
      </w:r>
    </w:p>
    <w:p w14:paraId="2AAA0C4C">
      <w:pPr>
        <w:spacing w:line="360" w:lineRule="auto"/>
        <w:ind w:left="420" w:leftChars="200"/>
        <w:rPr>
          <w:rFonts w:hint="eastAsia" w:ascii="宋体" w:hAnsi="宋体" w:cs="宋体"/>
          <w:sz w:val="22"/>
          <w:szCs w:val="22"/>
        </w:rPr>
      </w:pPr>
      <w:r>
        <w:rPr>
          <w:rFonts w:hint="eastAsia" w:ascii="宋体" w:hAnsi="宋体" w:cs="宋体"/>
          <w:sz w:val="22"/>
          <w:szCs w:val="22"/>
        </w:rPr>
        <w:t>（4）所有道闸更新升级，北门使用栅栏式闸机；</w:t>
      </w:r>
    </w:p>
    <w:p w14:paraId="58A67D93">
      <w:pPr>
        <w:spacing w:line="360" w:lineRule="auto"/>
        <w:ind w:left="420" w:leftChars="200"/>
        <w:rPr>
          <w:rFonts w:hint="eastAsia" w:ascii="宋体" w:hAnsi="宋体" w:cs="宋体"/>
          <w:sz w:val="22"/>
          <w:szCs w:val="22"/>
        </w:rPr>
      </w:pPr>
      <w:r>
        <w:rPr>
          <w:rFonts w:hint="eastAsia" w:ascii="宋体" w:hAnsi="宋体" w:cs="宋体"/>
          <w:sz w:val="22"/>
          <w:szCs w:val="22"/>
        </w:rPr>
        <w:t>（5）北面立体车位处新增职工停车区道闸；</w:t>
      </w:r>
    </w:p>
    <w:p w14:paraId="062C5290">
      <w:pPr>
        <w:spacing w:line="360" w:lineRule="auto"/>
        <w:ind w:left="420" w:leftChars="200"/>
        <w:rPr>
          <w:rFonts w:hint="eastAsia" w:ascii="宋体" w:hAnsi="宋体" w:cs="宋体"/>
          <w:sz w:val="22"/>
          <w:szCs w:val="22"/>
        </w:rPr>
      </w:pPr>
      <w:r>
        <w:rPr>
          <w:rFonts w:hint="eastAsia" w:ascii="宋体" w:hAnsi="宋体" w:cs="宋体"/>
          <w:sz w:val="22"/>
          <w:szCs w:val="22"/>
        </w:rPr>
        <w:t>（6）</w:t>
      </w:r>
      <w:r>
        <w:rPr>
          <w:rFonts w:ascii="宋体" w:hAnsi="宋体" w:cs="宋体"/>
          <w:sz w:val="22"/>
          <w:szCs w:val="22"/>
        </w:rPr>
        <w:t>为</w:t>
      </w:r>
      <w:r>
        <w:rPr>
          <w:rFonts w:hint="eastAsia" w:ascii="宋体" w:hAnsi="宋体" w:cs="宋体"/>
          <w:sz w:val="22"/>
          <w:szCs w:val="22"/>
        </w:rPr>
        <w:t>中心</w:t>
      </w:r>
      <w:r>
        <w:rPr>
          <w:rFonts w:ascii="宋体" w:hAnsi="宋体" w:cs="宋体"/>
          <w:sz w:val="22"/>
          <w:szCs w:val="22"/>
        </w:rPr>
        <w:t>每年提供</w:t>
      </w:r>
      <w:r>
        <w:rPr>
          <w:rFonts w:hint="eastAsia" w:ascii="宋体" w:hAnsi="宋体" w:cs="宋体"/>
          <w:sz w:val="22"/>
          <w:szCs w:val="22"/>
        </w:rPr>
        <w:t>免费停车额度不少于3万；</w:t>
      </w:r>
    </w:p>
    <w:p w14:paraId="6D680FD6">
      <w:pPr>
        <w:spacing w:line="360" w:lineRule="auto"/>
        <w:ind w:left="420" w:leftChars="200"/>
        <w:rPr>
          <w:rFonts w:hint="eastAsia" w:ascii="宋体" w:hAnsi="宋体" w:cs="宋体"/>
          <w:sz w:val="22"/>
          <w:szCs w:val="22"/>
        </w:rPr>
      </w:pPr>
      <w:r>
        <w:rPr>
          <w:rFonts w:hint="eastAsia" w:ascii="宋体" w:hAnsi="宋体" w:cs="宋体"/>
          <w:sz w:val="22"/>
          <w:szCs w:val="22"/>
        </w:rPr>
        <w:t>（7）管理停车场相应资质如ISO证书（内容需覆盖停车管理），3A证书等。</w:t>
      </w:r>
    </w:p>
    <w:p w14:paraId="4C34876B">
      <w:pPr>
        <w:spacing w:line="360" w:lineRule="auto"/>
        <w:ind w:left="420" w:leftChars="200"/>
        <w:rPr>
          <w:rFonts w:hint="eastAsia" w:ascii="宋体" w:hAnsi="宋体" w:cs="宋体"/>
          <w:sz w:val="22"/>
          <w:szCs w:val="22"/>
        </w:rPr>
      </w:pPr>
      <w:r>
        <w:rPr>
          <w:rFonts w:hint="eastAsia" w:ascii="宋体" w:hAnsi="宋体" w:cs="宋体"/>
          <w:sz w:val="22"/>
          <w:szCs w:val="22"/>
        </w:rPr>
        <w:t>二、人员配备要求：保证停车场有序运行。</w:t>
      </w:r>
    </w:p>
    <w:p w14:paraId="163BE552">
      <w:pPr>
        <w:spacing w:line="360" w:lineRule="auto"/>
        <w:ind w:left="420" w:leftChars="200"/>
        <w:rPr>
          <w:rFonts w:hint="eastAsia" w:ascii="宋体" w:hAnsi="宋体" w:cs="宋体"/>
          <w:sz w:val="22"/>
          <w:szCs w:val="22"/>
        </w:rPr>
      </w:pPr>
      <w:r>
        <w:rPr>
          <w:rFonts w:hint="eastAsia" w:ascii="宋体" w:hAnsi="宋体" w:cs="宋体"/>
          <w:sz w:val="22"/>
          <w:szCs w:val="22"/>
        </w:rPr>
        <w:t>1、具备相应的专业技能，身体健康，工作认真负责并定期接受培训。</w:t>
      </w:r>
    </w:p>
    <w:p w14:paraId="12D93F47">
      <w:pPr>
        <w:spacing w:line="360" w:lineRule="auto"/>
        <w:ind w:left="420" w:leftChars="200"/>
        <w:rPr>
          <w:rFonts w:hint="eastAsia" w:ascii="宋体" w:hAnsi="宋体" w:cs="宋体"/>
          <w:sz w:val="22"/>
          <w:szCs w:val="22"/>
        </w:rPr>
      </w:pPr>
      <w:r>
        <w:rPr>
          <w:rFonts w:hint="eastAsia" w:ascii="宋体" w:hAnsi="宋体" w:cs="宋体"/>
          <w:sz w:val="22"/>
          <w:szCs w:val="22"/>
        </w:rPr>
        <w:t>2、上岗时佩戴统一标志，按要求穿戴统一制服，仪容仪表规范整齐。</w:t>
      </w:r>
    </w:p>
    <w:p w14:paraId="335D3B05">
      <w:pPr>
        <w:spacing w:line="360" w:lineRule="auto"/>
        <w:ind w:left="420" w:leftChars="200"/>
        <w:rPr>
          <w:rFonts w:hint="eastAsia" w:ascii="宋体" w:hAnsi="宋体" w:cs="宋体"/>
          <w:sz w:val="22"/>
          <w:szCs w:val="22"/>
        </w:rPr>
      </w:pPr>
      <w:r>
        <w:rPr>
          <w:rFonts w:hint="eastAsia" w:ascii="宋体" w:hAnsi="宋体" w:cs="宋体"/>
          <w:sz w:val="22"/>
          <w:szCs w:val="22"/>
        </w:rPr>
        <w:t>3、文明工作，训练有素，言语规范，认真负责。</w:t>
      </w:r>
      <w:bookmarkEnd w:id="0"/>
      <w:bookmarkEnd w:id="1"/>
      <w:bookmarkEnd w:id="2"/>
      <w:bookmarkEnd w:id="3"/>
      <w:bookmarkEnd w:id="4"/>
    </w:p>
    <w:p w14:paraId="1AADF973">
      <w:pPr>
        <w:pStyle w:val="7"/>
        <w:rPr>
          <w:rFonts w:hint="eastAsia" w:ascii="宋体" w:hAnsi="宋体" w:cs="宋体"/>
          <w:sz w:val="22"/>
          <w:szCs w:val="22"/>
        </w:rPr>
      </w:pPr>
    </w:p>
    <w:p w14:paraId="1F4760F5">
      <w:pPr>
        <w:pStyle w:val="7"/>
        <w:rPr>
          <w:rFonts w:hint="eastAsia" w:ascii="宋体" w:hAnsi="宋体" w:cs="宋体"/>
          <w:sz w:val="22"/>
          <w:szCs w:val="22"/>
        </w:rPr>
      </w:pPr>
    </w:p>
    <w:p w14:paraId="105F68FB">
      <w:pPr>
        <w:pStyle w:val="7"/>
        <w:rPr>
          <w:rFonts w:hint="eastAsia" w:ascii="宋体" w:hAnsi="宋体" w:cs="宋体"/>
          <w:sz w:val="22"/>
          <w:szCs w:val="22"/>
        </w:rPr>
      </w:pPr>
    </w:p>
    <w:p w14:paraId="374B0DB8">
      <w:pPr>
        <w:pStyle w:val="7"/>
        <w:rPr>
          <w:rFonts w:hint="eastAsia" w:ascii="宋体" w:hAnsi="宋体" w:cs="宋体"/>
          <w:sz w:val="22"/>
          <w:szCs w:val="22"/>
        </w:rPr>
      </w:pPr>
    </w:p>
    <w:p w14:paraId="555A2FF2">
      <w:pPr>
        <w:pStyle w:val="7"/>
        <w:rPr>
          <w:rFonts w:hint="eastAsia" w:ascii="宋体" w:hAnsi="宋体" w:cs="宋体"/>
          <w:sz w:val="22"/>
          <w:szCs w:val="22"/>
        </w:rPr>
      </w:pPr>
    </w:p>
    <w:p w14:paraId="7FEE4A86">
      <w:pPr>
        <w:pStyle w:val="7"/>
        <w:rPr>
          <w:rFonts w:hint="eastAsia" w:ascii="宋体" w:hAnsi="宋体" w:cs="宋体"/>
          <w:sz w:val="22"/>
          <w:szCs w:val="22"/>
        </w:rPr>
      </w:pPr>
    </w:p>
    <w:p w14:paraId="73AE014B">
      <w:pPr>
        <w:pStyle w:val="7"/>
        <w:rPr>
          <w:rFonts w:hint="eastAsia" w:ascii="宋体" w:hAnsi="宋体" w:cs="宋体"/>
          <w:sz w:val="22"/>
          <w:szCs w:val="22"/>
        </w:rPr>
      </w:pPr>
    </w:p>
    <w:p w14:paraId="75749BF2">
      <w:pPr>
        <w:pStyle w:val="7"/>
        <w:rPr>
          <w:rFonts w:hint="eastAsia" w:ascii="宋体" w:hAnsi="宋体" w:cs="宋体"/>
          <w:sz w:val="22"/>
          <w:szCs w:val="22"/>
        </w:rPr>
      </w:pPr>
    </w:p>
    <w:p w14:paraId="158F7CF1">
      <w:pPr>
        <w:pStyle w:val="7"/>
        <w:rPr>
          <w:rFonts w:hint="eastAsia" w:ascii="宋体" w:hAnsi="宋体" w:cs="宋体"/>
          <w:sz w:val="22"/>
          <w:szCs w:val="22"/>
        </w:rPr>
      </w:pPr>
    </w:p>
    <w:p w14:paraId="3CB8DDED">
      <w:pPr>
        <w:pStyle w:val="7"/>
        <w:rPr>
          <w:rFonts w:hint="eastAsia" w:ascii="宋体" w:hAnsi="宋体" w:cs="宋体"/>
          <w:sz w:val="22"/>
          <w:szCs w:val="22"/>
        </w:rPr>
      </w:pPr>
    </w:p>
    <w:p w14:paraId="1B26A5AA">
      <w:pPr>
        <w:pStyle w:val="7"/>
        <w:rPr>
          <w:rFonts w:hint="eastAsia" w:ascii="宋体" w:hAnsi="宋体" w:cs="宋体"/>
          <w:sz w:val="22"/>
          <w:szCs w:val="22"/>
        </w:rPr>
      </w:pPr>
    </w:p>
    <w:p w14:paraId="34AE390F">
      <w:pPr>
        <w:pStyle w:val="7"/>
        <w:rPr>
          <w:rFonts w:hint="eastAsia" w:ascii="宋体" w:hAnsi="宋体" w:cs="宋体"/>
          <w:sz w:val="22"/>
          <w:szCs w:val="22"/>
        </w:rPr>
      </w:pPr>
    </w:p>
    <w:p w14:paraId="1ACFC72C">
      <w:pPr>
        <w:pStyle w:val="7"/>
        <w:rPr>
          <w:rFonts w:hint="eastAsia" w:ascii="宋体" w:hAnsi="宋体" w:cs="宋体"/>
          <w:sz w:val="22"/>
          <w:szCs w:val="22"/>
        </w:rPr>
      </w:pPr>
    </w:p>
    <w:p w14:paraId="3018AAD8">
      <w:pPr>
        <w:pStyle w:val="7"/>
        <w:rPr>
          <w:rFonts w:hint="eastAsia" w:ascii="宋体" w:hAnsi="宋体" w:cs="宋体"/>
          <w:sz w:val="22"/>
          <w:szCs w:val="22"/>
        </w:rPr>
      </w:pPr>
    </w:p>
    <w:p w14:paraId="3D5EDB5D">
      <w:pPr>
        <w:pStyle w:val="7"/>
        <w:rPr>
          <w:rFonts w:hint="eastAsia" w:ascii="宋体" w:hAnsi="宋体" w:cs="宋体"/>
          <w:sz w:val="22"/>
          <w:szCs w:val="22"/>
        </w:rPr>
      </w:pPr>
    </w:p>
    <w:p w14:paraId="7B124FC8">
      <w:pPr>
        <w:pStyle w:val="7"/>
        <w:rPr>
          <w:rFonts w:hint="eastAsia" w:ascii="宋体" w:hAnsi="宋体" w:cs="宋体"/>
          <w:sz w:val="22"/>
          <w:szCs w:val="22"/>
        </w:rPr>
      </w:pPr>
    </w:p>
    <w:p w14:paraId="088B9310">
      <w:pPr>
        <w:pStyle w:val="7"/>
        <w:rPr>
          <w:rFonts w:hint="eastAsia" w:ascii="宋体" w:hAnsi="宋体" w:cs="宋体"/>
          <w:sz w:val="22"/>
          <w:szCs w:val="22"/>
        </w:rPr>
      </w:pPr>
    </w:p>
    <w:p w14:paraId="6D957366">
      <w:pPr>
        <w:pStyle w:val="7"/>
        <w:rPr>
          <w:rFonts w:hint="eastAsia" w:ascii="宋体" w:hAnsi="宋体" w:cs="宋体"/>
          <w:sz w:val="22"/>
          <w:szCs w:val="22"/>
        </w:rPr>
      </w:pPr>
    </w:p>
    <w:p w14:paraId="1978FECD">
      <w:pPr>
        <w:pStyle w:val="7"/>
        <w:ind w:firstLine="0"/>
        <w:rPr>
          <w:rFonts w:hint="eastAsia" w:ascii="宋体" w:hAnsi="宋体" w:cs="宋体"/>
          <w:sz w:val="22"/>
          <w:szCs w:val="22"/>
        </w:rPr>
      </w:pPr>
      <w:r>
        <w:rPr>
          <w:rFonts w:hint="eastAsia" w:ascii="宋体" w:hAnsi="宋体" w:cs="宋体"/>
          <w:sz w:val="22"/>
          <w:szCs w:val="22"/>
        </w:rPr>
        <w:t>附件2：报名表</w:t>
      </w:r>
    </w:p>
    <w:p w14:paraId="51D3C3EE">
      <w:pPr>
        <w:widowControl/>
        <w:spacing w:line="360" w:lineRule="auto"/>
        <w:jc w:val="center"/>
        <w:rPr>
          <w:rFonts w:hint="eastAsia" w:ascii="ˎ̥" w:hAnsi="ˎ̥" w:cs="宋体"/>
          <w:b/>
          <w:kern w:val="0"/>
          <w:sz w:val="36"/>
          <w:szCs w:val="36"/>
        </w:rPr>
      </w:pPr>
      <w:r>
        <w:rPr>
          <w:rFonts w:hint="eastAsia" w:ascii="ˎ̥" w:hAnsi="ˎ̥" w:cs="宋体"/>
          <w:b/>
          <w:kern w:val="0"/>
          <w:sz w:val="36"/>
          <w:szCs w:val="36"/>
        </w:rPr>
        <w:t>报名表</w:t>
      </w:r>
    </w:p>
    <w:tbl>
      <w:tblPr>
        <w:tblStyle w:val="19"/>
        <w:tblW w:w="9527" w:type="dxa"/>
        <w:jc w:val="center"/>
        <w:tblCellSpacing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566"/>
        <w:gridCol w:w="2357"/>
        <w:gridCol w:w="1130"/>
        <w:gridCol w:w="3474"/>
      </w:tblGrid>
      <w:tr w14:paraId="7929BE02">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1" w:hRule="exact"/>
          <w:tblCellSpacing w:w="0" w:type="dxa"/>
          <w:jc w:val="center"/>
        </w:trPr>
        <w:tc>
          <w:tcPr>
            <w:tcW w:w="2566" w:type="dxa"/>
            <w:tcBorders>
              <w:top w:val="outset" w:color="auto" w:sz="6" w:space="0"/>
              <w:left w:val="outset" w:color="auto" w:sz="6" w:space="0"/>
              <w:bottom w:val="outset" w:color="auto" w:sz="6" w:space="0"/>
              <w:right w:val="outset" w:color="auto" w:sz="6" w:space="0"/>
            </w:tcBorders>
            <w:vAlign w:val="center"/>
          </w:tcPr>
          <w:p w14:paraId="441069E9">
            <w:pPr>
              <w:spacing w:line="385" w:lineRule="atLeast"/>
              <w:jc w:val="center"/>
              <w:rPr>
                <w:rFonts w:hint="eastAsia" w:ascii="ˎ̥" w:hAnsi="ˎ̥" w:cs="宋体"/>
                <w:b/>
                <w:kern w:val="0"/>
                <w:szCs w:val="21"/>
              </w:rPr>
            </w:pPr>
            <w:r>
              <w:rPr>
                <w:rFonts w:hint="eastAsia" w:ascii="ˎ̥" w:hAnsi="ˎ̥" w:cs="宋体"/>
                <w:b/>
                <w:kern w:val="0"/>
                <w:szCs w:val="21"/>
              </w:rPr>
              <w:t>项目名称</w:t>
            </w:r>
          </w:p>
        </w:tc>
        <w:tc>
          <w:tcPr>
            <w:tcW w:w="6961" w:type="dxa"/>
            <w:gridSpan w:val="3"/>
            <w:tcBorders>
              <w:top w:val="outset" w:color="auto" w:sz="6" w:space="0"/>
              <w:left w:val="outset" w:color="auto" w:sz="6" w:space="0"/>
              <w:bottom w:val="outset" w:color="auto" w:sz="6" w:space="0"/>
              <w:right w:val="outset" w:color="auto" w:sz="6" w:space="0"/>
            </w:tcBorders>
            <w:vAlign w:val="center"/>
          </w:tcPr>
          <w:p w14:paraId="44BBF16D">
            <w:pPr>
              <w:spacing w:line="385" w:lineRule="atLeast"/>
              <w:jc w:val="center"/>
              <w:rPr>
                <w:rFonts w:hint="eastAsia" w:ascii="ˎ̥" w:hAnsi="ˎ̥" w:cs="宋体"/>
                <w:kern w:val="0"/>
                <w:szCs w:val="21"/>
              </w:rPr>
            </w:pPr>
          </w:p>
        </w:tc>
      </w:tr>
      <w:tr w14:paraId="24CADDEB">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05" w:hRule="exact"/>
          <w:tblCellSpacing w:w="0" w:type="dxa"/>
          <w:jc w:val="center"/>
        </w:trPr>
        <w:tc>
          <w:tcPr>
            <w:tcW w:w="2566" w:type="dxa"/>
            <w:tcBorders>
              <w:top w:val="outset" w:color="auto" w:sz="6" w:space="0"/>
              <w:left w:val="outset" w:color="auto" w:sz="6" w:space="0"/>
              <w:bottom w:val="outset" w:color="auto" w:sz="6" w:space="0"/>
              <w:right w:val="outset" w:color="auto" w:sz="6" w:space="0"/>
            </w:tcBorders>
            <w:vAlign w:val="center"/>
          </w:tcPr>
          <w:p w14:paraId="516B43A5">
            <w:pPr>
              <w:widowControl/>
              <w:spacing w:line="385" w:lineRule="atLeast"/>
              <w:jc w:val="center"/>
              <w:rPr>
                <w:rFonts w:hint="eastAsia" w:ascii="ˎ̥" w:hAnsi="ˎ̥" w:cs="宋体"/>
                <w:b/>
                <w:kern w:val="0"/>
                <w:szCs w:val="21"/>
              </w:rPr>
            </w:pPr>
            <w:r>
              <w:rPr>
                <w:rFonts w:hint="eastAsia" w:ascii="ˎ̥" w:hAnsi="ˎ̥" w:cs="宋体"/>
                <w:b/>
                <w:kern w:val="0"/>
                <w:szCs w:val="21"/>
              </w:rPr>
              <w:t>投标单位</w:t>
            </w:r>
          </w:p>
        </w:tc>
        <w:tc>
          <w:tcPr>
            <w:tcW w:w="6961" w:type="dxa"/>
            <w:gridSpan w:val="3"/>
            <w:tcBorders>
              <w:top w:val="outset" w:color="auto" w:sz="6" w:space="0"/>
              <w:left w:val="outset" w:color="auto" w:sz="6" w:space="0"/>
              <w:bottom w:val="outset" w:color="auto" w:sz="6" w:space="0"/>
              <w:right w:val="outset" w:color="auto" w:sz="6" w:space="0"/>
            </w:tcBorders>
            <w:vAlign w:val="center"/>
          </w:tcPr>
          <w:p w14:paraId="1B0EE098">
            <w:pPr>
              <w:spacing w:line="385" w:lineRule="atLeast"/>
              <w:jc w:val="center"/>
              <w:rPr>
                <w:rFonts w:hint="eastAsia" w:ascii="ˎ̥" w:hAnsi="ˎ̥" w:cs="宋体"/>
                <w:kern w:val="0"/>
                <w:szCs w:val="21"/>
              </w:rPr>
            </w:pPr>
          </w:p>
        </w:tc>
      </w:tr>
      <w:tr w14:paraId="2F8609CC">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59" w:hRule="exact"/>
          <w:tblCellSpacing w:w="0" w:type="dxa"/>
          <w:jc w:val="center"/>
        </w:trPr>
        <w:tc>
          <w:tcPr>
            <w:tcW w:w="2566" w:type="dxa"/>
            <w:tcBorders>
              <w:top w:val="outset" w:color="auto" w:sz="6" w:space="0"/>
              <w:left w:val="outset" w:color="auto" w:sz="6" w:space="0"/>
              <w:bottom w:val="outset" w:color="auto" w:sz="6" w:space="0"/>
              <w:right w:val="outset" w:color="auto" w:sz="6" w:space="0"/>
            </w:tcBorders>
            <w:vAlign w:val="center"/>
          </w:tcPr>
          <w:p w14:paraId="15B04AC7">
            <w:pPr>
              <w:widowControl/>
              <w:spacing w:line="385" w:lineRule="atLeast"/>
              <w:jc w:val="center"/>
              <w:rPr>
                <w:rFonts w:hint="eastAsia" w:ascii="ˎ̥" w:hAnsi="ˎ̥" w:cs="宋体"/>
                <w:b/>
                <w:kern w:val="0"/>
                <w:szCs w:val="21"/>
              </w:rPr>
            </w:pPr>
            <w:r>
              <w:rPr>
                <w:rFonts w:hint="eastAsia" w:ascii="ˎ̥" w:hAnsi="ˎ̥" w:cs="宋体"/>
                <w:b/>
                <w:kern w:val="0"/>
                <w:szCs w:val="21"/>
              </w:rPr>
              <w:t>联系人</w:t>
            </w:r>
          </w:p>
        </w:tc>
        <w:tc>
          <w:tcPr>
            <w:tcW w:w="6961" w:type="dxa"/>
            <w:gridSpan w:val="3"/>
            <w:tcBorders>
              <w:top w:val="outset" w:color="auto" w:sz="6" w:space="0"/>
              <w:left w:val="outset" w:color="auto" w:sz="6" w:space="0"/>
              <w:bottom w:val="outset" w:color="auto" w:sz="6" w:space="0"/>
              <w:right w:val="outset" w:color="auto" w:sz="6" w:space="0"/>
            </w:tcBorders>
            <w:vAlign w:val="center"/>
          </w:tcPr>
          <w:p w14:paraId="273175EF">
            <w:pPr>
              <w:spacing w:line="385" w:lineRule="atLeast"/>
              <w:jc w:val="center"/>
              <w:rPr>
                <w:rFonts w:hint="eastAsia" w:ascii="ˎ̥" w:hAnsi="ˎ̥" w:cs="宋体"/>
                <w:kern w:val="0"/>
                <w:szCs w:val="21"/>
              </w:rPr>
            </w:pPr>
          </w:p>
        </w:tc>
      </w:tr>
      <w:tr w14:paraId="38494A45">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87" w:hRule="exact"/>
          <w:tblCellSpacing w:w="0" w:type="dxa"/>
          <w:jc w:val="center"/>
        </w:trPr>
        <w:tc>
          <w:tcPr>
            <w:tcW w:w="2566" w:type="dxa"/>
            <w:tcBorders>
              <w:top w:val="outset" w:color="auto" w:sz="6" w:space="0"/>
              <w:left w:val="outset" w:color="auto" w:sz="6" w:space="0"/>
              <w:bottom w:val="outset" w:color="auto" w:sz="6" w:space="0"/>
              <w:right w:val="outset" w:color="auto" w:sz="6" w:space="0"/>
            </w:tcBorders>
            <w:vAlign w:val="center"/>
          </w:tcPr>
          <w:p w14:paraId="4432A4E3">
            <w:pPr>
              <w:widowControl/>
              <w:spacing w:line="385" w:lineRule="atLeast"/>
              <w:jc w:val="center"/>
              <w:rPr>
                <w:rFonts w:hint="eastAsia" w:ascii="ˎ̥" w:hAnsi="ˎ̥" w:cs="宋体"/>
                <w:b/>
                <w:kern w:val="0"/>
                <w:szCs w:val="21"/>
              </w:rPr>
            </w:pPr>
            <w:r>
              <w:rPr>
                <w:rFonts w:hint="eastAsia" w:ascii="ˎ̥" w:hAnsi="ˎ̥" w:cs="宋体"/>
                <w:b/>
                <w:kern w:val="0"/>
                <w:szCs w:val="21"/>
              </w:rPr>
              <w:t>手机</w:t>
            </w:r>
          </w:p>
        </w:tc>
        <w:tc>
          <w:tcPr>
            <w:tcW w:w="6961" w:type="dxa"/>
            <w:gridSpan w:val="3"/>
            <w:tcBorders>
              <w:top w:val="outset" w:color="auto" w:sz="6" w:space="0"/>
              <w:left w:val="outset" w:color="auto" w:sz="6" w:space="0"/>
              <w:bottom w:val="outset" w:color="auto" w:sz="6" w:space="0"/>
              <w:right w:val="outset" w:color="auto" w:sz="6" w:space="0"/>
            </w:tcBorders>
            <w:vAlign w:val="center"/>
          </w:tcPr>
          <w:p w14:paraId="65EC60C5">
            <w:pPr>
              <w:spacing w:line="385" w:lineRule="atLeast"/>
              <w:jc w:val="center"/>
              <w:rPr>
                <w:rFonts w:hint="eastAsia" w:ascii="ˎ̥" w:hAnsi="ˎ̥" w:cs="宋体"/>
                <w:kern w:val="0"/>
                <w:szCs w:val="21"/>
              </w:rPr>
            </w:pPr>
          </w:p>
        </w:tc>
      </w:tr>
      <w:tr w14:paraId="22E4C181">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86" w:hRule="exact"/>
          <w:tblCellSpacing w:w="0" w:type="dxa"/>
          <w:jc w:val="center"/>
        </w:trPr>
        <w:tc>
          <w:tcPr>
            <w:tcW w:w="2566" w:type="dxa"/>
            <w:tcBorders>
              <w:top w:val="outset" w:color="auto" w:sz="6" w:space="0"/>
              <w:left w:val="outset" w:color="auto" w:sz="6" w:space="0"/>
              <w:bottom w:val="outset" w:color="auto" w:sz="6" w:space="0"/>
              <w:right w:val="outset" w:color="auto" w:sz="6" w:space="0"/>
            </w:tcBorders>
            <w:vAlign w:val="center"/>
          </w:tcPr>
          <w:p w14:paraId="6EB317B3">
            <w:pPr>
              <w:widowControl/>
              <w:spacing w:line="385" w:lineRule="atLeast"/>
              <w:jc w:val="center"/>
              <w:rPr>
                <w:rFonts w:hint="eastAsia" w:ascii="ˎ̥" w:hAnsi="ˎ̥" w:cs="宋体"/>
                <w:b/>
                <w:kern w:val="0"/>
                <w:szCs w:val="21"/>
              </w:rPr>
            </w:pPr>
            <w:r>
              <w:rPr>
                <w:rFonts w:hint="eastAsia" w:ascii="ˎ̥" w:hAnsi="ˎ̥" w:cs="宋体"/>
                <w:b/>
                <w:kern w:val="0"/>
                <w:szCs w:val="21"/>
              </w:rPr>
              <w:t>联系电话（必填）</w:t>
            </w:r>
          </w:p>
        </w:tc>
        <w:tc>
          <w:tcPr>
            <w:tcW w:w="2357" w:type="dxa"/>
            <w:tcBorders>
              <w:top w:val="outset" w:color="auto" w:sz="6" w:space="0"/>
              <w:left w:val="outset" w:color="auto" w:sz="6" w:space="0"/>
              <w:bottom w:val="outset" w:color="auto" w:sz="6" w:space="0"/>
              <w:right w:val="outset" w:color="auto" w:sz="6" w:space="0"/>
            </w:tcBorders>
            <w:vAlign w:val="center"/>
          </w:tcPr>
          <w:p w14:paraId="67A117AD">
            <w:pPr>
              <w:spacing w:line="385" w:lineRule="atLeast"/>
              <w:jc w:val="center"/>
              <w:rPr>
                <w:rFonts w:hint="eastAsia" w:ascii="ˎ̥" w:hAnsi="ˎ̥" w:cs="宋体"/>
                <w:kern w:val="0"/>
                <w:szCs w:val="21"/>
              </w:rPr>
            </w:pPr>
          </w:p>
        </w:tc>
        <w:tc>
          <w:tcPr>
            <w:tcW w:w="1130" w:type="dxa"/>
            <w:tcBorders>
              <w:top w:val="outset" w:color="auto" w:sz="6" w:space="0"/>
              <w:left w:val="outset" w:color="auto" w:sz="6" w:space="0"/>
              <w:bottom w:val="outset" w:color="auto" w:sz="6" w:space="0"/>
              <w:right w:val="outset" w:color="auto" w:sz="6" w:space="0"/>
            </w:tcBorders>
            <w:vAlign w:val="center"/>
          </w:tcPr>
          <w:p w14:paraId="2A16262F">
            <w:pPr>
              <w:widowControl/>
              <w:spacing w:line="300" w:lineRule="exact"/>
              <w:jc w:val="center"/>
              <w:rPr>
                <w:rFonts w:hint="eastAsia" w:ascii="ˎ̥" w:hAnsi="ˎ̥" w:cs="宋体"/>
                <w:kern w:val="0"/>
                <w:szCs w:val="21"/>
              </w:rPr>
            </w:pPr>
            <w:r>
              <w:rPr>
                <w:rFonts w:hint="eastAsia" w:ascii="ˎ̥" w:hAnsi="ˎ̥" w:cs="宋体"/>
                <w:b/>
                <w:kern w:val="0"/>
                <w:szCs w:val="21"/>
              </w:rPr>
              <w:t>传 真</w:t>
            </w:r>
          </w:p>
        </w:tc>
        <w:tc>
          <w:tcPr>
            <w:tcW w:w="3474" w:type="dxa"/>
            <w:tcBorders>
              <w:top w:val="outset" w:color="auto" w:sz="6" w:space="0"/>
              <w:left w:val="outset" w:color="auto" w:sz="6" w:space="0"/>
              <w:bottom w:val="outset" w:color="auto" w:sz="6" w:space="0"/>
              <w:right w:val="outset" w:color="auto" w:sz="6" w:space="0"/>
            </w:tcBorders>
            <w:vAlign w:val="center"/>
          </w:tcPr>
          <w:p w14:paraId="2EC3A6DA">
            <w:pPr>
              <w:spacing w:line="385" w:lineRule="atLeast"/>
              <w:jc w:val="center"/>
              <w:rPr>
                <w:rFonts w:hint="eastAsia" w:ascii="ˎ̥" w:hAnsi="ˎ̥" w:cs="宋体"/>
                <w:kern w:val="0"/>
                <w:szCs w:val="21"/>
              </w:rPr>
            </w:pPr>
          </w:p>
        </w:tc>
      </w:tr>
      <w:tr w14:paraId="5CA85BD9">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876" w:hRule="exact"/>
          <w:tblCellSpacing w:w="0" w:type="dxa"/>
          <w:jc w:val="center"/>
        </w:trPr>
        <w:tc>
          <w:tcPr>
            <w:tcW w:w="2566" w:type="dxa"/>
            <w:tcBorders>
              <w:top w:val="outset" w:color="auto" w:sz="6" w:space="0"/>
              <w:left w:val="outset" w:color="auto" w:sz="6" w:space="0"/>
              <w:bottom w:val="outset" w:color="auto" w:sz="6" w:space="0"/>
              <w:right w:val="outset" w:color="auto" w:sz="6" w:space="0"/>
            </w:tcBorders>
            <w:vAlign w:val="center"/>
          </w:tcPr>
          <w:p w14:paraId="3CE03034">
            <w:pPr>
              <w:widowControl/>
              <w:spacing w:line="300" w:lineRule="exact"/>
              <w:jc w:val="center"/>
              <w:rPr>
                <w:rFonts w:hint="eastAsia" w:ascii="ˎ̥" w:hAnsi="ˎ̥" w:cs="宋体"/>
                <w:b/>
                <w:kern w:val="0"/>
                <w:szCs w:val="21"/>
              </w:rPr>
            </w:pPr>
            <w:r>
              <w:rPr>
                <w:rFonts w:hint="eastAsia" w:ascii="ˎ̥" w:hAnsi="ˎ̥" w:cs="宋体"/>
                <w:b/>
                <w:kern w:val="0"/>
                <w:szCs w:val="21"/>
              </w:rPr>
              <w:t>E-mail地址</w:t>
            </w:r>
          </w:p>
          <w:p w14:paraId="7FA61986">
            <w:pPr>
              <w:widowControl/>
              <w:spacing w:line="300" w:lineRule="exact"/>
              <w:jc w:val="center"/>
              <w:rPr>
                <w:rFonts w:hint="eastAsia" w:ascii="ˎ̥" w:hAnsi="ˎ̥" w:cs="宋体"/>
                <w:b/>
                <w:kern w:val="0"/>
                <w:szCs w:val="21"/>
              </w:rPr>
            </w:pPr>
            <w:r>
              <w:rPr>
                <w:rFonts w:hint="eastAsia" w:ascii="ˎ̥" w:hAnsi="ˎ̥" w:cs="宋体"/>
                <w:b/>
                <w:kern w:val="0"/>
                <w:szCs w:val="21"/>
              </w:rPr>
              <w:t>（务必清晰）</w:t>
            </w:r>
          </w:p>
        </w:tc>
        <w:tc>
          <w:tcPr>
            <w:tcW w:w="6961" w:type="dxa"/>
            <w:gridSpan w:val="3"/>
            <w:tcBorders>
              <w:top w:val="outset" w:color="auto" w:sz="6" w:space="0"/>
              <w:left w:val="outset" w:color="auto" w:sz="6" w:space="0"/>
              <w:bottom w:val="outset" w:color="auto" w:sz="6" w:space="0"/>
              <w:right w:val="outset" w:color="C9C9C9" w:sz="6" w:space="0"/>
            </w:tcBorders>
            <w:vAlign w:val="center"/>
          </w:tcPr>
          <w:p w14:paraId="222E1355">
            <w:pPr>
              <w:spacing w:line="385" w:lineRule="atLeast"/>
              <w:jc w:val="center"/>
              <w:rPr>
                <w:rFonts w:hint="eastAsia" w:ascii="ˎ̥" w:hAnsi="ˎ̥" w:cs="宋体"/>
                <w:kern w:val="0"/>
                <w:szCs w:val="21"/>
              </w:rPr>
            </w:pPr>
          </w:p>
        </w:tc>
      </w:tr>
      <w:tr w14:paraId="2F7BB722">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61" w:hRule="atLeast"/>
          <w:tblCellSpacing w:w="0" w:type="dxa"/>
          <w:jc w:val="center"/>
        </w:trPr>
        <w:tc>
          <w:tcPr>
            <w:tcW w:w="9527" w:type="dxa"/>
            <w:gridSpan w:val="4"/>
            <w:tcBorders>
              <w:top w:val="outset" w:color="auto" w:sz="6" w:space="0"/>
              <w:left w:val="outset" w:color="auto" w:sz="6" w:space="0"/>
              <w:bottom w:val="outset" w:color="auto" w:sz="6" w:space="0"/>
              <w:right w:val="outset" w:color="auto" w:sz="6" w:space="0"/>
            </w:tcBorders>
            <w:vAlign w:val="center"/>
          </w:tcPr>
          <w:p w14:paraId="41D887F9">
            <w:pPr>
              <w:rPr>
                <w:rFonts w:hint="eastAsia" w:ascii="ˎ̥" w:hAnsi="ˎ̥" w:cs="宋体"/>
                <w:b/>
                <w:kern w:val="0"/>
                <w:szCs w:val="21"/>
              </w:rPr>
            </w:pPr>
          </w:p>
          <w:p w14:paraId="2AE523C4">
            <w:pPr>
              <w:rPr>
                <w:rFonts w:hint="eastAsia" w:ascii="ˎ̥" w:hAnsi="ˎ̥" w:cs="宋体"/>
                <w:b/>
                <w:kern w:val="0"/>
                <w:szCs w:val="21"/>
              </w:rPr>
            </w:pPr>
            <w:r>
              <w:rPr>
                <w:rFonts w:hint="eastAsia" w:ascii="ˎ̥" w:hAnsi="ˎ̥" w:cs="宋体"/>
                <w:b/>
                <w:kern w:val="0"/>
                <w:szCs w:val="21"/>
              </w:rPr>
              <w:t>报名单位（盖章）：                                   日期：</w:t>
            </w:r>
          </w:p>
          <w:p w14:paraId="3399D48B">
            <w:pPr>
              <w:rPr>
                <w:b/>
                <w:szCs w:val="21"/>
              </w:rPr>
            </w:pPr>
          </w:p>
        </w:tc>
      </w:tr>
    </w:tbl>
    <w:p w14:paraId="382D56A3"/>
    <w:p w14:paraId="3E618966">
      <w:pPr>
        <w:pStyle w:val="8"/>
        <w:ind w:left="0" w:leftChars="0"/>
      </w:pPr>
      <w:r>
        <w:rPr>
          <w:rFonts w:hint="eastAsia"/>
        </w:rPr>
        <w:br w:type="page"/>
      </w:r>
    </w:p>
    <w:p w14:paraId="3EE0F442">
      <w:pPr>
        <w:spacing w:line="360" w:lineRule="auto"/>
        <w:ind w:left="420" w:leftChars="200"/>
        <w:rPr>
          <w:rFonts w:hint="eastAsia" w:ascii="宋体" w:hAnsi="宋体" w:cs="宋体"/>
          <w:sz w:val="22"/>
          <w:szCs w:val="22"/>
        </w:rPr>
      </w:pPr>
      <w:r>
        <w:rPr>
          <w:rFonts w:hint="eastAsia" w:ascii="宋体" w:hAnsi="宋体" w:cs="宋体"/>
          <w:sz w:val="22"/>
          <w:szCs w:val="22"/>
        </w:rPr>
        <w:t>附件3：评标办法及评分标准</w:t>
      </w:r>
    </w:p>
    <w:p w14:paraId="57075886">
      <w:pPr>
        <w:spacing w:before="120" w:beforeLines="50" w:after="120" w:afterLines="50" w:line="360" w:lineRule="auto"/>
        <w:ind w:firstLine="422" w:firstLineChars="200"/>
        <w:rPr>
          <w:rFonts w:hint="eastAsia" w:ascii="宋体" w:hAnsi="宋体"/>
          <w:b/>
          <w:szCs w:val="21"/>
        </w:rPr>
      </w:pPr>
      <w:bookmarkStart w:id="6" w:name="_Toc401844727"/>
      <w:bookmarkStart w:id="7" w:name="_Toc357584969"/>
      <w:r>
        <w:rPr>
          <w:rFonts w:hint="eastAsia" w:ascii="宋体" w:hAnsi="宋体"/>
          <w:b/>
          <w:szCs w:val="21"/>
        </w:rPr>
        <w:t>一 、总则</w:t>
      </w:r>
    </w:p>
    <w:p w14:paraId="4FDBF0A2">
      <w:pPr>
        <w:spacing w:before="120" w:beforeLines="50" w:after="120" w:afterLines="50" w:line="360" w:lineRule="auto"/>
        <w:ind w:firstLine="420" w:firstLineChars="200"/>
        <w:rPr>
          <w:rFonts w:hint="eastAsia" w:ascii="宋体" w:hAnsi="宋体"/>
          <w:szCs w:val="21"/>
        </w:rPr>
      </w:pPr>
      <w:r>
        <w:rPr>
          <w:rFonts w:hint="eastAsia" w:ascii="宋体" w:hAnsi="宋体"/>
          <w:szCs w:val="21"/>
        </w:rPr>
        <w:t>本次评标采用综合评分法，总分为100分，其中价格分20分、技术商务分80分。合格供应商的评标综合得分为价格分和技术商务分的总和，中标候选资格按评标综合得分由高到低顺序排列，得分相同的，按投标报价由低到高顺序排列；得分且投标报价相同的，按技术分“管理与服务方案”得分由到低顺序排列，仍不能分出前后的，则抽签确定。评分过程中采用四舍五入法，并保留小数2位。</w:t>
      </w:r>
    </w:p>
    <w:p w14:paraId="43AB5C88">
      <w:pPr>
        <w:spacing w:before="120" w:beforeLines="50" w:after="120" w:afterLines="50" w:line="360" w:lineRule="auto"/>
        <w:ind w:firstLine="420" w:firstLineChars="200"/>
        <w:rPr>
          <w:rFonts w:hint="eastAsia" w:ascii="宋体" w:hAnsi="宋体"/>
          <w:szCs w:val="21"/>
        </w:rPr>
      </w:pPr>
      <w:r>
        <w:rPr>
          <w:rFonts w:hint="eastAsia" w:ascii="宋体" w:hAnsi="宋体"/>
          <w:szCs w:val="21"/>
        </w:rPr>
        <w:t>供应商评标综合得分=价格分+技术商务分</w:t>
      </w:r>
    </w:p>
    <w:p w14:paraId="2009938B">
      <w:pPr>
        <w:spacing w:before="120" w:beforeLines="50" w:after="120" w:afterLines="50" w:line="360" w:lineRule="auto"/>
        <w:ind w:firstLine="422" w:firstLineChars="200"/>
        <w:rPr>
          <w:rFonts w:hint="eastAsia" w:ascii="宋体" w:hAnsi="宋体"/>
          <w:b/>
          <w:szCs w:val="21"/>
        </w:rPr>
      </w:pPr>
      <w:r>
        <w:rPr>
          <w:rFonts w:hint="eastAsia" w:ascii="宋体" w:hAnsi="宋体"/>
          <w:b/>
          <w:szCs w:val="21"/>
        </w:rPr>
        <w:t>二</w:t>
      </w:r>
      <w:r>
        <w:rPr>
          <w:rFonts w:ascii="宋体" w:hAnsi="宋体"/>
          <w:b/>
          <w:szCs w:val="21"/>
        </w:rPr>
        <w:t xml:space="preserve"> </w:t>
      </w:r>
      <w:r>
        <w:rPr>
          <w:rFonts w:hint="eastAsia" w:ascii="宋体" w:hAnsi="宋体"/>
          <w:b/>
          <w:szCs w:val="21"/>
        </w:rPr>
        <w:t>、评标内容及标准</w:t>
      </w:r>
    </w:p>
    <w:bookmarkEnd w:id="6"/>
    <w:bookmarkEnd w:id="7"/>
    <w:tbl>
      <w:tblPr>
        <w:tblStyle w:val="20"/>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1365"/>
        <w:gridCol w:w="1125"/>
        <w:gridCol w:w="5804"/>
      </w:tblGrid>
      <w:tr w14:paraId="77B10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14:paraId="2A6DEF93">
            <w:pPr>
              <w:spacing w:line="360" w:lineRule="auto"/>
              <w:jc w:val="center"/>
              <w:rPr>
                <w:rFonts w:hint="eastAsia" w:ascii="宋体" w:hAnsi="宋体" w:cs="宋体"/>
                <w:sz w:val="22"/>
                <w:szCs w:val="22"/>
              </w:rPr>
            </w:pPr>
          </w:p>
        </w:tc>
        <w:tc>
          <w:tcPr>
            <w:tcW w:w="1365" w:type="dxa"/>
          </w:tcPr>
          <w:p w14:paraId="568C9718">
            <w:pPr>
              <w:widowControl/>
              <w:jc w:val="left"/>
            </w:pPr>
            <w:r>
              <w:rPr>
                <w:rFonts w:hint="eastAsia" w:ascii="宋体" w:hAnsi="宋体" w:cs="宋体"/>
                <w:b/>
                <w:bCs/>
                <w:color w:val="000000"/>
                <w:kern w:val="0"/>
                <w:sz w:val="22"/>
                <w:szCs w:val="22"/>
                <w:lang w:bidi="ar"/>
              </w:rPr>
              <w:t>评审因素</w:t>
            </w:r>
          </w:p>
          <w:p w14:paraId="6A8D5280">
            <w:pPr>
              <w:spacing w:line="360" w:lineRule="auto"/>
              <w:jc w:val="left"/>
              <w:rPr>
                <w:rFonts w:hint="eastAsia" w:ascii="宋体" w:hAnsi="宋体" w:cs="宋体"/>
                <w:sz w:val="22"/>
                <w:szCs w:val="22"/>
              </w:rPr>
            </w:pPr>
          </w:p>
        </w:tc>
        <w:tc>
          <w:tcPr>
            <w:tcW w:w="1125" w:type="dxa"/>
          </w:tcPr>
          <w:p w14:paraId="4AA2F016">
            <w:pPr>
              <w:widowControl/>
              <w:jc w:val="left"/>
            </w:pPr>
            <w:r>
              <w:rPr>
                <w:rFonts w:hint="eastAsia" w:ascii="宋体" w:hAnsi="宋体" w:cs="宋体"/>
                <w:b/>
                <w:bCs/>
                <w:color w:val="000000"/>
                <w:kern w:val="0"/>
                <w:sz w:val="22"/>
                <w:szCs w:val="22"/>
                <w:lang w:bidi="ar"/>
              </w:rPr>
              <w:t>分值</w:t>
            </w:r>
          </w:p>
          <w:p w14:paraId="67E151EF">
            <w:pPr>
              <w:spacing w:line="360" w:lineRule="auto"/>
              <w:jc w:val="left"/>
              <w:rPr>
                <w:rFonts w:hint="eastAsia" w:ascii="宋体" w:hAnsi="宋体" w:cs="宋体"/>
                <w:sz w:val="22"/>
                <w:szCs w:val="22"/>
              </w:rPr>
            </w:pPr>
          </w:p>
        </w:tc>
        <w:tc>
          <w:tcPr>
            <w:tcW w:w="5804" w:type="dxa"/>
          </w:tcPr>
          <w:p w14:paraId="4A1124C7">
            <w:pPr>
              <w:widowControl/>
              <w:jc w:val="left"/>
            </w:pPr>
            <w:r>
              <w:rPr>
                <w:rFonts w:hint="eastAsia" w:ascii="宋体" w:hAnsi="宋体" w:cs="宋体"/>
                <w:b/>
                <w:bCs/>
                <w:color w:val="000000"/>
                <w:kern w:val="0"/>
                <w:sz w:val="22"/>
                <w:szCs w:val="22"/>
                <w:lang w:bidi="ar"/>
              </w:rPr>
              <w:t>评审内容</w:t>
            </w:r>
          </w:p>
          <w:p w14:paraId="0EBCAFCD">
            <w:pPr>
              <w:spacing w:line="360" w:lineRule="auto"/>
              <w:jc w:val="left"/>
              <w:rPr>
                <w:rFonts w:hint="eastAsia" w:ascii="宋体" w:hAnsi="宋体" w:cs="宋体"/>
                <w:sz w:val="22"/>
                <w:szCs w:val="22"/>
              </w:rPr>
            </w:pPr>
          </w:p>
        </w:tc>
      </w:tr>
      <w:tr w14:paraId="0252A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14:paraId="5D485567">
            <w:pPr>
              <w:widowControl/>
              <w:jc w:val="center"/>
            </w:pPr>
            <w:r>
              <w:rPr>
                <w:rFonts w:hint="eastAsia" w:ascii="宋体" w:hAnsi="宋体" w:cs="宋体"/>
                <w:color w:val="000000"/>
                <w:kern w:val="0"/>
                <w:sz w:val="22"/>
                <w:szCs w:val="22"/>
                <w:lang w:bidi="ar"/>
              </w:rPr>
              <w:t>商务报价</w:t>
            </w:r>
          </w:p>
          <w:p w14:paraId="3B014023">
            <w:pPr>
              <w:widowControl/>
              <w:jc w:val="center"/>
            </w:pPr>
            <w:r>
              <w:rPr>
                <w:rFonts w:hint="eastAsia" w:ascii="宋体" w:hAnsi="宋体" w:cs="宋体"/>
                <w:color w:val="000000"/>
                <w:kern w:val="0"/>
                <w:sz w:val="22"/>
                <w:szCs w:val="22"/>
                <w:lang w:bidi="ar"/>
              </w:rPr>
              <w:t>（20 分）</w:t>
            </w:r>
          </w:p>
          <w:p w14:paraId="3A0651E3">
            <w:pPr>
              <w:spacing w:line="360" w:lineRule="auto"/>
              <w:jc w:val="center"/>
              <w:rPr>
                <w:rFonts w:hint="eastAsia" w:ascii="宋体" w:hAnsi="宋体" w:cs="宋体"/>
                <w:sz w:val="22"/>
                <w:szCs w:val="22"/>
              </w:rPr>
            </w:pPr>
          </w:p>
        </w:tc>
        <w:tc>
          <w:tcPr>
            <w:tcW w:w="1365" w:type="dxa"/>
          </w:tcPr>
          <w:p w14:paraId="1F803CC5">
            <w:pPr>
              <w:widowControl/>
              <w:jc w:val="left"/>
            </w:pPr>
            <w:r>
              <w:rPr>
                <w:rFonts w:hint="eastAsia" w:ascii="宋体" w:hAnsi="宋体" w:cs="宋体"/>
                <w:color w:val="000000"/>
                <w:kern w:val="0"/>
                <w:sz w:val="22"/>
                <w:szCs w:val="22"/>
                <w:lang w:bidi="ar"/>
              </w:rPr>
              <w:t>投标总报</w:t>
            </w:r>
            <w:r>
              <w:rPr>
                <w:rFonts w:hint="eastAsia" w:ascii="宋体" w:hAnsi="宋体" w:cs="宋体"/>
                <w:color w:val="000000"/>
                <w:kern w:val="0"/>
                <w:szCs w:val="21"/>
                <w:lang w:bidi="ar"/>
              </w:rPr>
              <w:t>价</w:t>
            </w:r>
          </w:p>
          <w:p w14:paraId="15A81A1A">
            <w:pPr>
              <w:spacing w:line="360" w:lineRule="auto"/>
              <w:jc w:val="left"/>
              <w:rPr>
                <w:rFonts w:hint="eastAsia" w:ascii="宋体" w:hAnsi="宋体" w:cs="宋体"/>
                <w:sz w:val="22"/>
                <w:szCs w:val="22"/>
              </w:rPr>
            </w:pPr>
          </w:p>
        </w:tc>
        <w:tc>
          <w:tcPr>
            <w:tcW w:w="1125" w:type="dxa"/>
          </w:tcPr>
          <w:p w14:paraId="6CFE0453">
            <w:pPr>
              <w:widowControl/>
              <w:jc w:val="left"/>
            </w:pPr>
            <w:r>
              <w:rPr>
                <w:rFonts w:hint="eastAsia" w:ascii="宋体" w:hAnsi="宋体" w:cs="宋体"/>
                <w:color w:val="000000"/>
                <w:kern w:val="0"/>
                <w:sz w:val="22"/>
                <w:szCs w:val="22"/>
                <w:lang w:bidi="ar"/>
              </w:rPr>
              <w:t>0-20</w:t>
            </w:r>
          </w:p>
          <w:p w14:paraId="67F8DCC9">
            <w:pPr>
              <w:spacing w:line="360" w:lineRule="auto"/>
              <w:jc w:val="left"/>
              <w:rPr>
                <w:rFonts w:hint="eastAsia" w:ascii="宋体" w:hAnsi="宋体" w:cs="宋体"/>
                <w:sz w:val="22"/>
                <w:szCs w:val="22"/>
              </w:rPr>
            </w:pPr>
          </w:p>
        </w:tc>
        <w:tc>
          <w:tcPr>
            <w:tcW w:w="5804" w:type="dxa"/>
          </w:tcPr>
          <w:p w14:paraId="506B0221">
            <w:pPr>
              <w:widowControl/>
              <w:jc w:val="left"/>
            </w:pPr>
            <w:r>
              <w:rPr>
                <w:rFonts w:hint="eastAsia" w:ascii="宋体" w:hAnsi="宋体" w:cs="宋体"/>
                <w:color w:val="000000"/>
                <w:kern w:val="0"/>
                <w:sz w:val="22"/>
                <w:szCs w:val="22"/>
                <w:lang w:bidi="ar"/>
              </w:rPr>
              <w:t xml:space="preserve">1、评标委员会对所有投标报价和最低限价进行比较，确定有效投标报价。低于投标最低限价的投标文件不再予以进一步评审，作无效标处理。本项目最低限价为 </w:t>
            </w:r>
            <w:r>
              <w:rPr>
                <w:rFonts w:ascii="宋体" w:hAnsi="宋体" w:cs="宋体"/>
                <w:color w:val="000000"/>
                <w:kern w:val="0"/>
                <w:sz w:val="22"/>
                <w:szCs w:val="22"/>
                <w:lang w:bidi="ar"/>
              </w:rPr>
              <w:t>10</w:t>
            </w:r>
            <w:r>
              <w:rPr>
                <w:rFonts w:hint="eastAsia" w:ascii="宋体" w:hAnsi="宋体" w:cs="宋体"/>
                <w:color w:val="000000"/>
                <w:kern w:val="0"/>
                <w:sz w:val="22"/>
                <w:szCs w:val="22"/>
                <w:lang w:bidi="ar"/>
              </w:rPr>
              <w:t xml:space="preserve"> 万元元。</w:t>
            </w:r>
          </w:p>
          <w:p w14:paraId="343D7A70">
            <w:pPr>
              <w:widowControl/>
              <w:jc w:val="left"/>
            </w:pPr>
            <w:r>
              <w:rPr>
                <w:rFonts w:hint="eastAsia" w:ascii="宋体" w:hAnsi="宋体" w:cs="宋体"/>
                <w:color w:val="000000"/>
                <w:kern w:val="0"/>
                <w:sz w:val="22"/>
                <w:szCs w:val="22"/>
                <w:lang w:bidi="ar"/>
              </w:rPr>
              <w:t>2、报价得分计算：</w:t>
            </w:r>
          </w:p>
          <w:p w14:paraId="358EFB59">
            <w:pPr>
              <w:widowControl/>
              <w:jc w:val="left"/>
            </w:pPr>
            <w:r>
              <w:rPr>
                <w:rFonts w:hint="eastAsia" w:ascii="宋体" w:hAnsi="宋体" w:cs="宋体"/>
                <w:color w:val="000000"/>
                <w:kern w:val="0"/>
                <w:sz w:val="22"/>
                <w:szCs w:val="22"/>
                <w:lang w:bidi="ar"/>
              </w:rPr>
              <w:t>（1）评标基准价的计算：</w:t>
            </w:r>
          </w:p>
          <w:p w14:paraId="345AD9EC">
            <w:pPr>
              <w:widowControl/>
              <w:jc w:val="left"/>
            </w:pPr>
            <w:r>
              <w:rPr>
                <w:rFonts w:hint="eastAsia" w:ascii="宋体" w:hAnsi="宋体" w:cs="宋体"/>
                <w:color w:val="000000"/>
                <w:kern w:val="0"/>
                <w:sz w:val="22"/>
                <w:szCs w:val="22"/>
                <w:lang w:bidi="ar"/>
              </w:rPr>
              <w:t>进入评标范围的所有有效投标人投标报价的算术平均值即为评标基准价。</w:t>
            </w:r>
          </w:p>
          <w:p w14:paraId="6BF9E77B">
            <w:pPr>
              <w:widowControl/>
              <w:jc w:val="left"/>
            </w:pPr>
            <w:r>
              <w:rPr>
                <w:rFonts w:hint="eastAsia" w:ascii="宋体" w:hAnsi="宋体" w:cs="宋体"/>
                <w:color w:val="000000"/>
                <w:kern w:val="0"/>
                <w:sz w:val="22"/>
                <w:szCs w:val="22"/>
                <w:lang w:bidi="ar"/>
              </w:rPr>
              <w:t>（2）各投标人的报价等于评标基准价时报价分得满分；高于评标基准价时，每高 1％扣 0.5 分；低于评标基准价时，每低 1％扣 1 分；中间以内插法计算，以此求出各投标人的报价得分，不计负分。</w:t>
            </w:r>
          </w:p>
          <w:p w14:paraId="152D34E3">
            <w:pPr>
              <w:widowControl/>
              <w:jc w:val="left"/>
              <w:rPr>
                <w:rFonts w:hint="eastAsia"/>
              </w:rPr>
            </w:pPr>
            <w:r>
              <w:rPr>
                <w:rFonts w:hint="eastAsia" w:ascii="宋体" w:hAnsi="宋体" w:cs="宋体"/>
                <w:color w:val="000000"/>
                <w:kern w:val="0"/>
                <w:sz w:val="22"/>
                <w:szCs w:val="22"/>
                <w:lang w:bidi="ar"/>
              </w:rPr>
              <w:t>（3）报价、基准价均以元为单位，四舍五入后取整数，百分数四舍五入保留至小数点后二位（万分位）上述评审中被认定为无效标及废标的投标，评标委员会应写出书面结论意见，意见不一致时按少数服从多数的原则决定，对评标结论有异议的评标专家，可以书面阐明不同意见和理由，评标专家拒绝签字且不陈述理由的视为同意。</w:t>
            </w:r>
          </w:p>
        </w:tc>
      </w:tr>
      <w:tr w14:paraId="45D0F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restart"/>
          </w:tcPr>
          <w:p w14:paraId="3849064C">
            <w:pPr>
              <w:widowControl/>
              <w:jc w:val="center"/>
            </w:pPr>
            <w:r>
              <w:rPr>
                <w:rFonts w:hint="eastAsia" w:ascii="宋体" w:hAnsi="宋体" w:cs="宋体"/>
                <w:color w:val="000000"/>
                <w:kern w:val="0"/>
                <w:sz w:val="22"/>
                <w:szCs w:val="22"/>
                <w:lang w:bidi="ar"/>
              </w:rPr>
              <w:t>技术标（70</w:t>
            </w:r>
          </w:p>
          <w:p w14:paraId="64836FDF">
            <w:pPr>
              <w:widowControl/>
              <w:jc w:val="center"/>
            </w:pPr>
            <w:r>
              <w:rPr>
                <w:rFonts w:hint="eastAsia" w:ascii="宋体" w:hAnsi="宋体" w:cs="宋体"/>
                <w:color w:val="000000"/>
                <w:kern w:val="0"/>
                <w:sz w:val="22"/>
                <w:szCs w:val="22"/>
                <w:lang w:bidi="ar"/>
              </w:rPr>
              <w:t>分）</w:t>
            </w:r>
          </w:p>
          <w:p w14:paraId="21679BD3">
            <w:pPr>
              <w:spacing w:line="360" w:lineRule="auto"/>
              <w:jc w:val="center"/>
              <w:rPr>
                <w:rFonts w:hint="eastAsia" w:ascii="宋体" w:hAnsi="宋体" w:cs="宋体"/>
                <w:sz w:val="22"/>
                <w:szCs w:val="22"/>
              </w:rPr>
            </w:pPr>
          </w:p>
        </w:tc>
        <w:tc>
          <w:tcPr>
            <w:tcW w:w="1365" w:type="dxa"/>
            <w:vMerge w:val="restart"/>
          </w:tcPr>
          <w:p w14:paraId="1ED1B104">
            <w:pPr>
              <w:widowControl/>
              <w:jc w:val="left"/>
            </w:pPr>
            <w:r>
              <w:rPr>
                <w:rFonts w:hint="eastAsia" w:ascii="宋体" w:hAnsi="宋体" w:cs="宋体"/>
                <w:color w:val="000000"/>
                <w:kern w:val="0"/>
                <w:sz w:val="22"/>
                <w:szCs w:val="22"/>
                <w:lang w:bidi="ar"/>
              </w:rPr>
              <w:t>服务、运营理念、组织架构及管理制度情况</w:t>
            </w:r>
          </w:p>
          <w:p w14:paraId="6D80A53E">
            <w:pPr>
              <w:spacing w:line="360" w:lineRule="auto"/>
              <w:jc w:val="left"/>
              <w:rPr>
                <w:rFonts w:hint="eastAsia" w:ascii="宋体" w:hAnsi="宋体" w:cs="宋体"/>
                <w:sz w:val="22"/>
                <w:szCs w:val="22"/>
              </w:rPr>
            </w:pPr>
          </w:p>
        </w:tc>
        <w:tc>
          <w:tcPr>
            <w:tcW w:w="1125" w:type="dxa"/>
          </w:tcPr>
          <w:p w14:paraId="7B501D9A">
            <w:pPr>
              <w:widowControl/>
              <w:jc w:val="left"/>
            </w:pPr>
            <w:r>
              <w:rPr>
                <w:rFonts w:hint="eastAsia" w:ascii="宋体" w:hAnsi="宋体" w:cs="宋体"/>
                <w:color w:val="000000"/>
                <w:kern w:val="0"/>
                <w:sz w:val="22"/>
                <w:szCs w:val="22"/>
                <w:lang w:bidi="ar"/>
              </w:rPr>
              <w:t>0-12</w:t>
            </w:r>
          </w:p>
          <w:p w14:paraId="4B8C944E">
            <w:pPr>
              <w:spacing w:line="360" w:lineRule="auto"/>
              <w:jc w:val="left"/>
              <w:rPr>
                <w:rFonts w:hint="eastAsia" w:ascii="宋体" w:hAnsi="宋体" w:cs="宋体"/>
                <w:sz w:val="22"/>
                <w:szCs w:val="22"/>
              </w:rPr>
            </w:pPr>
          </w:p>
        </w:tc>
        <w:tc>
          <w:tcPr>
            <w:tcW w:w="5804" w:type="dxa"/>
          </w:tcPr>
          <w:p w14:paraId="2F435998">
            <w:pPr>
              <w:widowControl/>
              <w:jc w:val="left"/>
              <w:rPr>
                <w:rFonts w:hint="eastAsia"/>
              </w:rPr>
            </w:pPr>
            <w:r>
              <w:rPr>
                <w:rFonts w:hint="eastAsia" w:ascii="宋体" w:hAnsi="宋体" w:cs="宋体"/>
                <w:color w:val="000000"/>
                <w:kern w:val="0"/>
                <w:sz w:val="22"/>
                <w:szCs w:val="22"/>
                <w:lang w:bidi="ar"/>
              </w:rPr>
              <w:t>根据本项目特点提出合理的车辆管理服务方案，建立完善的组织架构、监督机制、信息反馈渠道及处理机制，提出服务定位、目标，日常运行模式及总体运营方案切合实际，具有合理性、可行性、安全性。由评委比较后酌情打分。</w:t>
            </w:r>
          </w:p>
        </w:tc>
      </w:tr>
      <w:tr w14:paraId="3F27D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Pr>
          <w:p w14:paraId="7BD2D6BF">
            <w:pPr>
              <w:spacing w:line="360" w:lineRule="auto"/>
              <w:jc w:val="center"/>
              <w:rPr>
                <w:rFonts w:hint="eastAsia" w:ascii="宋体" w:hAnsi="宋体" w:cs="宋体"/>
                <w:sz w:val="22"/>
                <w:szCs w:val="22"/>
              </w:rPr>
            </w:pPr>
          </w:p>
        </w:tc>
        <w:tc>
          <w:tcPr>
            <w:tcW w:w="1365" w:type="dxa"/>
            <w:vMerge w:val="continue"/>
          </w:tcPr>
          <w:p w14:paraId="62856A1A">
            <w:pPr>
              <w:spacing w:line="360" w:lineRule="auto"/>
              <w:jc w:val="left"/>
              <w:rPr>
                <w:rFonts w:hint="eastAsia" w:ascii="宋体" w:hAnsi="宋体" w:cs="宋体"/>
                <w:sz w:val="22"/>
                <w:szCs w:val="22"/>
              </w:rPr>
            </w:pPr>
          </w:p>
        </w:tc>
        <w:tc>
          <w:tcPr>
            <w:tcW w:w="1125" w:type="dxa"/>
          </w:tcPr>
          <w:p w14:paraId="33444615">
            <w:pPr>
              <w:widowControl/>
              <w:jc w:val="left"/>
            </w:pPr>
            <w:r>
              <w:rPr>
                <w:rFonts w:hint="eastAsia" w:ascii="宋体" w:hAnsi="宋体" w:cs="宋体"/>
                <w:color w:val="000000"/>
                <w:kern w:val="0"/>
                <w:sz w:val="22"/>
                <w:szCs w:val="22"/>
                <w:lang w:bidi="ar"/>
              </w:rPr>
              <w:t>5</w:t>
            </w:r>
          </w:p>
          <w:p w14:paraId="5D4156EA">
            <w:pPr>
              <w:spacing w:line="360" w:lineRule="auto"/>
              <w:jc w:val="left"/>
              <w:rPr>
                <w:rFonts w:hint="eastAsia" w:ascii="宋体" w:hAnsi="宋体" w:cs="宋体"/>
                <w:sz w:val="22"/>
                <w:szCs w:val="22"/>
              </w:rPr>
            </w:pPr>
          </w:p>
        </w:tc>
        <w:tc>
          <w:tcPr>
            <w:tcW w:w="5804" w:type="dxa"/>
          </w:tcPr>
          <w:p w14:paraId="2EB02D32">
            <w:pPr>
              <w:widowControl/>
              <w:jc w:val="left"/>
            </w:pPr>
            <w:r>
              <w:rPr>
                <w:rFonts w:hint="eastAsia" w:ascii="宋体" w:hAnsi="宋体" w:cs="宋体"/>
                <w:color w:val="000000"/>
                <w:kern w:val="0"/>
                <w:sz w:val="22"/>
                <w:szCs w:val="22"/>
                <w:lang w:bidi="ar"/>
              </w:rPr>
              <w:t>供应商对车辆管理运营计划是否详实、是否有创新（如儿童部优惠券及职工停车方案）。由评委比较后酌情打分</w:t>
            </w:r>
            <w:r>
              <w:rPr>
                <w:rFonts w:ascii="宋体" w:hAnsi="宋体" w:cs="宋体"/>
                <w:color w:val="000000"/>
                <w:kern w:val="0"/>
                <w:sz w:val="22"/>
                <w:szCs w:val="22"/>
                <w:lang w:bidi="ar"/>
              </w:rPr>
              <w:t>（0-5）</w:t>
            </w:r>
            <w:r>
              <w:rPr>
                <w:rFonts w:hint="eastAsia" w:ascii="宋体" w:hAnsi="宋体" w:cs="宋体"/>
                <w:color w:val="000000"/>
                <w:kern w:val="0"/>
                <w:sz w:val="22"/>
                <w:szCs w:val="22"/>
                <w:lang w:bidi="ar"/>
              </w:rPr>
              <w:t>。</w:t>
            </w:r>
          </w:p>
          <w:p w14:paraId="37C29701">
            <w:pPr>
              <w:spacing w:line="360" w:lineRule="auto"/>
              <w:jc w:val="left"/>
              <w:rPr>
                <w:rFonts w:hint="eastAsia" w:ascii="宋体" w:hAnsi="宋体" w:cs="宋体"/>
                <w:sz w:val="22"/>
                <w:szCs w:val="22"/>
              </w:rPr>
            </w:pPr>
          </w:p>
        </w:tc>
      </w:tr>
      <w:tr w14:paraId="79FB3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Pr>
          <w:p w14:paraId="75ACBB99">
            <w:pPr>
              <w:spacing w:line="360" w:lineRule="auto"/>
              <w:jc w:val="center"/>
              <w:rPr>
                <w:rFonts w:hint="eastAsia" w:ascii="宋体" w:hAnsi="宋体" w:cs="宋体"/>
                <w:sz w:val="22"/>
                <w:szCs w:val="22"/>
              </w:rPr>
            </w:pPr>
          </w:p>
        </w:tc>
        <w:tc>
          <w:tcPr>
            <w:tcW w:w="1365" w:type="dxa"/>
            <w:vMerge w:val="restart"/>
          </w:tcPr>
          <w:p w14:paraId="7EA5C242">
            <w:pPr>
              <w:widowControl/>
              <w:jc w:val="left"/>
            </w:pPr>
            <w:r>
              <w:rPr>
                <w:rFonts w:hint="eastAsia" w:ascii="宋体" w:hAnsi="宋体" w:cs="宋体"/>
                <w:color w:val="000000"/>
                <w:kern w:val="0"/>
                <w:sz w:val="22"/>
                <w:szCs w:val="22"/>
                <w:lang w:bidi="ar"/>
              </w:rPr>
              <w:t>管理与服务方案</w:t>
            </w:r>
          </w:p>
          <w:p w14:paraId="381A4A8C">
            <w:pPr>
              <w:spacing w:line="360" w:lineRule="auto"/>
              <w:jc w:val="left"/>
              <w:rPr>
                <w:rFonts w:hint="eastAsia" w:ascii="宋体" w:hAnsi="宋体" w:cs="宋体"/>
                <w:sz w:val="22"/>
                <w:szCs w:val="22"/>
              </w:rPr>
            </w:pPr>
          </w:p>
        </w:tc>
        <w:tc>
          <w:tcPr>
            <w:tcW w:w="1125" w:type="dxa"/>
          </w:tcPr>
          <w:p w14:paraId="63AABE57">
            <w:pPr>
              <w:widowControl/>
              <w:jc w:val="left"/>
            </w:pPr>
            <w:r>
              <w:rPr>
                <w:rFonts w:hint="eastAsia" w:ascii="宋体" w:hAnsi="宋体" w:cs="宋体"/>
                <w:color w:val="000000"/>
                <w:kern w:val="0"/>
                <w:sz w:val="22"/>
                <w:szCs w:val="22"/>
                <w:lang w:bidi="ar"/>
              </w:rPr>
              <w:t>3</w:t>
            </w:r>
          </w:p>
          <w:p w14:paraId="2854F582">
            <w:pPr>
              <w:spacing w:line="360" w:lineRule="auto"/>
              <w:jc w:val="left"/>
              <w:rPr>
                <w:rFonts w:hint="eastAsia" w:ascii="宋体" w:hAnsi="宋体" w:cs="宋体"/>
                <w:sz w:val="22"/>
                <w:szCs w:val="22"/>
              </w:rPr>
            </w:pPr>
          </w:p>
        </w:tc>
        <w:tc>
          <w:tcPr>
            <w:tcW w:w="5804" w:type="dxa"/>
          </w:tcPr>
          <w:p w14:paraId="4A2B4B79">
            <w:pPr>
              <w:widowControl/>
              <w:jc w:val="left"/>
            </w:pPr>
            <w:r>
              <w:rPr>
                <w:rFonts w:hint="eastAsia" w:ascii="宋体" w:hAnsi="宋体" w:cs="宋体"/>
                <w:color w:val="000000"/>
                <w:kern w:val="0"/>
                <w:sz w:val="22"/>
                <w:szCs w:val="22"/>
                <w:lang w:bidi="ar"/>
              </w:rPr>
              <w:t>方案中车辆管理方案是否完善，工具及设备配置（须提供采购合同或购置发票等有效依据）是否满足要求，车辆停放情况处理是否合规，检查监督机制是否到位。由评委比较后酌情打分</w:t>
            </w:r>
            <w:r>
              <w:rPr>
                <w:rFonts w:ascii="宋体" w:hAnsi="宋体" w:cs="宋体"/>
                <w:color w:val="000000"/>
                <w:kern w:val="0"/>
                <w:sz w:val="22"/>
                <w:szCs w:val="22"/>
                <w:lang w:bidi="ar"/>
              </w:rPr>
              <w:t>（0-3）</w:t>
            </w:r>
            <w:r>
              <w:rPr>
                <w:rFonts w:hint="eastAsia" w:ascii="宋体" w:hAnsi="宋体" w:cs="宋体"/>
                <w:color w:val="000000"/>
                <w:kern w:val="0"/>
                <w:sz w:val="22"/>
                <w:szCs w:val="22"/>
                <w:lang w:bidi="ar"/>
              </w:rPr>
              <w:t>。</w:t>
            </w:r>
          </w:p>
        </w:tc>
      </w:tr>
      <w:tr w14:paraId="45C65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Pr>
          <w:p w14:paraId="3536BF5A">
            <w:pPr>
              <w:spacing w:line="360" w:lineRule="auto"/>
              <w:jc w:val="center"/>
              <w:rPr>
                <w:rFonts w:hint="eastAsia" w:ascii="宋体" w:hAnsi="宋体" w:cs="宋体"/>
                <w:sz w:val="22"/>
                <w:szCs w:val="22"/>
              </w:rPr>
            </w:pPr>
          </w:p>
        </w:tc>
        <w:tc>
          <w:tcPr>
            <w:tcW w:w="1365" w:type="dxa"/>
            <w:vMerge w:val="continue"/>
          </w:tcPr>
          <w:p w14:paraId="1057B724">
            <w:pPr>
              <w:spacing w:line="360" w:lineRule="auto"/>
              <w:jc w:val="left"/>
              <w:rPr>
                <w:rFonts w:hint="eastAsia" w:ascii="宋体" w:hAnsi="宋体" w:cs="宋体"/>
                <w:sz w:val="22"/>
                <w:szCs w:val="22"/>
              </w:rPr>
            </w:pPr>
          </w:p>
        </w:tc>
        <w:tc>
          <w:tcPr>
            <w:tcW w:w="1125" w:type="dxa"/>
          </w:tcPr>
          <w:p w14:paraId="10199295">
            <w:pPr>
              <w:widowControl/>
              <w:jc w:val="left"/>
            </w:pPr>
            <w:r>
              <w:rPr>
                <w:rFonts w:hint="eastAsia" w:ascii="宋体" w:hAnsi="宋体" w:cs="宋体"/>
                <w:color w:val="000000"/>
                <w:kern w:val="0"/>
                <w:sz w:val="22"/>
                <w:szCs w:val="22"/>
                <w:lang w:bidi="ar"/>
              </w:rPr>
              <w:t>8</w:t>
            </w:r>
          </w:p>
          <w:p w14:paraId="401921F0">
            <w:pPr>
              <w:spacing w:line="360" w:lineRule="auto"/>
              <w:jc w:val="left"/>
              <w:rPr>
                <w:rFonts w:hint="eastAsia" w:ascii="宋体" w:hAnsi="宋体" w:cs="宋体"/>
                <w:b/>
                <w:bCs/>
                <w:sz w:val="22"/>
                <w:szCs w:val="22"/>
              </w:rPr>
            </w:pPr>
          </w:p>
        </w:tc>
        <w:tc>
          <w:tcPr>
            <w:tcW w:w="5804" w:type="dxa"/>
          </w:tcPr>
          <w:p w14:paraId="16EE0F1C">
            <w:pPr>
              <w:widowControl/>
              <w:jc w:val="left"/>
            </w:pPr>
            <w:r>
              <w:rPr>
                <w:rFonts w:hint="eastAsia" w:ascii="宋体" w:hAnsi="宋体" w:cs="宋体"/>
                <w:color w:val="000000"/>
                <w:kern w:val="0"/>
                <w:sz w:val="22"/>
                <w:szCs w:val="22"/>
                <w:lang w:bidi="ar"/>
              </w:rPr>
              <w:t>秩序维护，车辆管理、人员及车辆出入引导方案，安全管理（包括但不限于安全巡查、消防等方面）方案，突发事件（包括发生消防、反恐、信访、治安、灾害天气或其他突发事件）应急预案及相应的措施等是否详实可行；由评委比较后酌情打分</w:t>
            </w:r>
            <w:r>
              <w:rPr>
                <w:rFonts w:ascii="宋体" w:hAnsi="宋体" w:cs="宋体"/>
                <w:color w:val="000000"/>
                <w:kern w:val="0"/>
                <w:sz w:val="22"/>
                <w:szCs w:val="22"/>
                <w:lang w:bidi="ar"/>
              </w:rPr>
              <w:t>（0-8）</w:t>
            </w:r>
            <w:r>
              <w:rPr>
                <w:rFonts w:hint="eastAsia" w:ascii="宋体" w:hAnsi="宋体" w:cs="宋体"/>
                <w:color w:val="000000"/>
                <w:kern w:val="0"/>
                <w:sz w:val="22"/>
                <w:szCs w:val="22"/>
                <w:lang w:bidi="ar"/>
              </w:rPr>
              <w:t>。</w:t>
            </w:r>
          </w:p>
        </w:tc>
      </w:tr>
      <w:tr w14:paraId="365B9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Pr>
          <w:p w14:paraId="6446B55B">
            <w:pPr>
              <w:spacing w:line="360" w:lineRule="auto"/>
              <w:jc w:val="center"/>
              <w:rPr>
                <w:rFonts w:hint="eastAsia" w:ascii="宋体" w:hAnsi="宋体" w:cs="宋体"/>
                <w:sz w:val="22"/>
                <w:szCs w:val="22"/>
              </w:rPr>
            </w:pPr>
          </w:p>
        </w:tc>
        <w:tc>
          <w:tcPr>
            <w:tcW w:w="1365" w:type="dxa"/>
            <w:vMerge w:val="continue"/>
          </w:tcPr>
          <w:p w14:paraId="07A84ED6">
            <w:pPr>
              <w:spacing w:line="360" w:lineRule="auto"/>
              <w:jc w:val="left"/>
              <w:rPr>
                <w:rFonts w:hint="eastAsia" w:ascii="宋体" w:hAnsi="宋体" w:cs="宋体"/>
                <w:sz w:val="22"/>
                <w:szCs w:val="22"/>
              </w:rPr>
            </w:pPr>
          </w:p>
        </w:tc>
        <w:tc>
          <w:tcPr>
            <w:tcW w:w="1125" w:type="dxa"/>
          </w:tcPr>
          <w:p w14:paraId="5EE514FF">
            <w:pPr>
              <w:widowControl/>
              <w:jc w:val="left"/>
            </w:pPr>
            <w:r>
              <w:rPr>
                <w:rFonts w:hint="eastAsia" w:ascii="宋体" w:hAnsi="宋体" w:cs="宋体"/>
                <w:color w:val="000000"/>
                <w:kern w:val="0"/>
                <w:sz w:val="22"/>
                <w:szCs w:val="22"/>
                <w:lang w:bidi="ar"/>
              </w:rPr>
              <w:t>5</w:t>
            </w:r>
          </w:p>
          <w:p w14:paraId="15636FC1">
            <w:pPr>
              <w:spacing w:line="360" w:lineRule="auto"/>
              <w:jc w:val="left"/>
              <w:rPr>
                <w:rFonts w:hint="eastAsia" w:ascii="宋体" w:hAnsi="宋体" w:cs="宋体"/>
                <w:b/>
                <w:bCs/>
                <w:sz w:val="22"/>
                <w:szCs w:val="22"/>
              </w:rPr>
            </w:pPr>
          </w:p>
        </w:tc>
        <w:tc>
          <w:tcPr>
            <w:tcW w:w="5804" w:type="dxa"/>
          </w:tcPr>
          <w:p w14:paraId="642D3BCA">
            <w:pPr>
              <w:widowControl/>
              <w:jc w:val="left"/>
            </w:pPr>
            <w:r>
              <w:rPr>
                <w:rFonts w:hint="eastAsia" w:ascii="宋体" w:hAnsi="宋体" w:cs="宋体"/>
                <w:color w:val="000000"/>
                <w:kern w:val="0"/>
                <w:sz w:val="22"/>
                <w:szCs w:val="22"/>
                <w:lang w:bidi="ar"/>
              </w:rPr>
              <w:t>交通标志标线、设施设备日常养护、巡检和维修，零星维修管理方案是否详实，人员、工具器及设备配置是否满足要求。由评委比较后酌情打分</w:t>
            </w:r>
            <w:r>
              <w:rPr>
                <w:rFonts w:ascii="宋体" w:hAnsi="宋体" w:cs="宋体"/>
                <w:color w:val="000000"/>
                <w:kern w:val="0"/>
                <w:sz w:val="22"/>
                <w:szCs w:val="22"/>
                <w:lang w:bidi="ar"/>
              </w:rPr>
              <w:t>（0-5）</w:t>
            </w:r>
            <w:r>
              <w:rPr>
                <w:rFonts w:hint="eastAsia" w:ascii="宋体" w:hAnsi="宋体" w:cs="宋体"/>
                <w:color w:val="000000"/>
                <w:kern w:val="0"/>
                <w:sz w:val="22"/>
                <w:szCs w:val="22"/>
                <w:lang w:bidi="ar"/>
              </w:rPr>
              <w:t>。</w:t>
            </w:r>
          </w:p>
        </w:tc>
      </w:tr>
      <w:tr w14:paraId="3C022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Pr>
          <w:p w14:paraId="72ADE3E4">
            <w:pPr>
              <w:spacing w:line="360" w:lineRule="auto"/>
              <w:jc w:val="center"/>
              <w:rPr>
                <w:rFonts w:hint="eastAsia" w:ascii="宋体" w:hAnsi="宋体" w:cs="宋体"/>
                <w:sz w:val="22"/>
                <w:szCs w:val="22"/>
              </w:rPr>
            </w:pPr>
          </w:p>
        </w:tc>
        <w:tc>
          <w:tcPr>
            <w:tcW w:w="1365" w:type="dxa"/>
            <w:vMerge w:val="continue"/>
          </w:tcPr>
          <w:p w14:paraId="140CA063">
            <w:pPr>
              <w:spacing w:line="360" w:lineRule="auto"/>
              <w:jc w:val="left"/>
              <w:rPr>
                <w:rFonts w:hint="eastAsia" w:ascii="宋体" w:hAnsi="宋体" w:cs="宋体"/>
                <w:sz w:val="22"/>
                <w:szCs w:val="22"/>
              </w:rPr>
            </w:pPr>
          </w:p>
        </w:tc>
        <w:tc>
          <w:tcPr>
            <w:tcW w:w="1125" w:type="dxa"/>
          </w:tcPr>
          <w:p w14:paraId="4371A180">
            <w:pPr>
              <w:widowControl/>
              <w:jc w:val="left"/>
            </w:pPr>
            <w:r>
              <w:rPr>
                <w:rFonts w:hint="eastAsia" w:ascii="宋体" w:hAnsi="宋体" w:cs="宋体"/>
                <w:color w:val="000000"/>
                <w:kern w:val="0"/>
                <w:sz w:val="22"/>
                <w:szCs w:val="22"/>
                <w:lang w:bidi="ar"/>
              </w:rPr>
              <w:t>6</w:t>
            </w:r>
          </w:p>
          <w:p w14:paraId="794D736E">
            <w:pPr>
              <w:spacing w:line="360" w:lineRule="auto"/>
              <w:jc w:val="left"/>
              <w:rPr>
                <w:rFonts w:hint="eastAsia" w:ascii="宋体" w:hAnsi="宋体" w:cs="宋体"/>
                <w:b/>
                <w:bCs/>
                <w:sz w:val="22"/>
                <w:szCs w:val="22"/>
              </w:rPr>
            </w:pPr>
          </w:p>
        </w:tc>
        <w:tc>
          <w:tcPr>
            <w:tcW w:w="5804" w:type="dxa"/>
          </w:tcPr>
          <w:p w14:paraId="15C1846E">
            <w:pPr>
              <w:widowControl/>
              <w:jc w:val="left"/>
            </w:pPr>
            <w:r>
              <w:rPr>
                <w:rFonts w:hint="eastAsia" w:ascii="宋体" w:hAnsi="宋体" w:cs="宋体"/>
                <w:color w:val="000000"/>
                <w:kern w:val="0"/>
                <w:sz w:val="22"/>
                <w:szCs w:val="22"/>
                <w:lang w:bidi="ar"/>
              </w:rPr>
              <w:t>配合中心重大活动时是否加强保障措施（含加强人员投入），是否采取措施避免重大活动对于社区正常活动的干扰，是否落实专人负责处理与中心相关事宜。由评委比较后酌情打分</w:t>
            </w:r>
            <w:r>
              <w:rPr>
                <w:rFonts w:ascii="宋体" w:hAnsi="宋体" w:cs="宋体"/>
                <w:color w:val="000000"/>
                <w:kern w:val="0"/>
                <w:sz w:val="22"/>
                <w:szCs w:val="22"/>
                <w:lang w:bidi="ar"/>
              </w:rPr>
              <w:t>（0-6）</w:t>
            </w:r>
            <w:r>
              <w:rPr>
                <w:rFonts w:hint="eastAsia" w:ascii="宋体" w:hAnsi="宋体" w:cs="宋体"/>
                <w:color w:val="000000"/>
                <w:kern w:val="0"/>
                <w:sz w:val="22"/>
                <w:szCs w:val="22"/>
                <w:lang w:bidi="ar"/>
              </w:rPr>
              <w:t>。</w:t>
            </w:r>
          </w:p>
        </w:tc>
      </w:tr>
      <w:tr w14:paraId="367DA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Pr>
          <w:p w14:paraId="39303032">
            <w:pPr>
              <w:spacing w:line="360" w:lineRule="auto"/>
              <w:jc w:val="center"/>
              <w:rPr>
                <w:rFonts w:hint="eastAsia" w:ascii="宋体" w:hAnsi="宋体" w:cs="宋体"/>
                <w:sz w:val="22"/>
                <w:szCs w:val="22"/>
              </w:rPr>
            </w:pPr>
          </w:p>
        </w:tc>
        <w:tc>
          <w:tcPr>
            <w:tcW w:w="1365" w:type="dxa"/>
            <w:vMerge w:val="continue"/>
          </w:tcPr>
          <w:p w14:paraId="08B5C8D5">
            <w:pPr>
              <w:spacing w:line="360" w:lineRule="auto"/>
              <w:jc w:val="left"/>
              <w:rPr>
                <w:rFonts w:hint="eastAsia" w:ascii="宋体" w:hAnsi="宋体" w:cs="宋体"/>
                <w:sz w:val="22"/>
                <w:szCs w:val="22"/>
              </w:rPr>
            </w:pPr>
          </w:p>
        </w:tc>
        <w:tc>
          <w:tcPr>
            <w:tcW w:w="1125" w:type="dxa"/>
          </w:tcPr>
          <w:p w14:paraId="40E63E9D">
            <w:pPr>
              <w:widowControl/>
              <w:jc w:val="left"/>
            </w:pPr>
            <w:r>
              <w:rPr>
                <w:rFonts w:hint="eastAsia" w:ascii="宋体" w:hAnsi="宋体" w:cs="宋体"/>
                <w:color w:val="000000"/>
                <w:kern w:val="0"/>
                <w:sz w:val="22"/>
                <w:szCs w:val="22"/>
                <w:lang w:bidi="ar"/>
              </w:rPr>
              <w:t>2</w:t>
            </w:r>
          </w:p>
          <w:p w14:paraId="5BFCDF74">
            <w:pPr>
              <w:spacing w:line="360" w:lineRule="auto"/>
              <w:jc w:val="left"/>
              <w:rPr>
                <w:rFonts w:hint="eastAsia" w:ascii="宋体" w:hAnsi="宋体" w:cs="宋体"/>
                <w:b/>
                <w:bCs/>
                <w:sz w:val="22"/>
                <w:szCs w:val="22"/>
              </w:rPr>
            </w:pPr>
          </w:p>
        </w:tc>
        <w:tc>
          <w:tcPr>
            <w:tcW w:w="5804" w:type="dxa"/>
          </w:tcPr>
          <w:p w14:paraId="3A99B9E7">
            <w:pPr>
              <w:widowControl/>
              <w:jc w:val="left"/>
              <w:rPr>
                <w:rFonts w:hint="eastAsia"/>
              </w:rPr>
            </w:pPr>
            <w:r>
              <w:rPr>
                <w:rFonts w:hint="eastAsia" w:ascii="宋体" w:hAnsi="宋体" w:cs="宋体"/>
                <w:color w:val="000000"/>
                <w:kern w:val="0"/>
                <w:sz w:val="22"/>
                <w:szCs w:val="22"/>
                <w:lang w:bidi="ar"/>
              </w:rPr>
              <w:t>针对中心的日常需求，如上级部门停车、供应商停车，制定管理方案以及实施办法。由评委比较后酌情打分</w:t>
            </w:r>
            <w:r>
              <w:rPr>
                <w:rFonts w:ascii="宋体" w:hAnsi="宋体" w:cs="宋体"/>
                <w:color w:val="000000"/>
                <w:kern w:val="0"/>
                <w:sz w:val="22"/>
                <w:szCs w:val="22"/>
                <w:lang w:bidi="ar"/>
              </w:rPr>
              <w:t>（0-2）</w:t>
            </w:r>
            <w:r>
              <w:rPr>
                <w:rFonts w:hint="eastAsia" w:ascii="宋体" w:hAnsi="宋体" w:cs="宋体"/>
                <w:color w:val="000000"/>
                <w:kern w:val="0"/>
                <w:sz w:val="22"/>
                <w:szCs w:val="22"/>
                <w:lang w:bidi="ar"/>
              </w:rPr>
              <w:t>。</w:t>
            </w:r>
          </w:p>
        </w:tc>
      </w:tr>
      <w:tr w14:paraId="2319E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Pr>
          <w:p w14:paraId="0CBE52A5">
            <w:pPr>
              <w:spacing w:line="360" w:lineRule="auto"/>
              <w:jc w:val="center"/>
              <w:rPr>
                <w:rFonts w:hint="eastAsia" w:ascii="宋体" w:hAnsi="宋体" w:cs="宋体"/>
                <w:sz w:val="22"/>
                <w:szCs w:val="22"/>
              </w:rPr>
            </w:pPr>
          </w:p>
        </w:tc>
        <w:tc>
          <w:tcPr>
            <w:tcW w:w="1365" w:type="dxa"/>
            <w:vMerge w:val="continue"/>
          </w:tcPr>
          <w:p w14:paraId="7C7544D3">
            <w:pPr>
              <w:spacing w:line="360" w:lineRule="auto"/>
              <w:jc w:val="left"/>
              <w:rPr>
                <w:rFonts w:hint="eastAsia" w:ascii="宋体" w:hAnsi="宋体" w:cs="宋体"/>
                <w:sz w:val="22"/>
                <w:szCs w:val="22"/>
              </w:rPr>
            </w:pPr>
          </w:p>
        </w:tc>
        <w:tc>
          <w:tcPr>
            <w:tcW w:w="1125" w:type="dxa"/>
          </w:tcPr>
          <w:p w14:paraId="39DE5E65">
            <w:pPr>
              <w:widowControl/>
              <w:jc w:val="left"/>
            </w:pPr>
            <w:r>
              <w:rPr>
                <w:rFonts w:hint="eastAsia" w:ascii="宋体" w:hAnsi="宋体" w:cs="宋体"/>
                <w:color w:val="000000"/>
                <w:kern w:val="0"/>
                <w:sz w:val="22"/>
                <w:szCs w:val="22"/>
                <w:lang w:bidi="ar"/>
              </w:rPr>
              <w:t>5</w:t>
            </w:r>
          </w:p>
          <w:p w14:paraId="22D81964">
            <w:pPr>
              <w:spacing w:line="360" w:lineRule="auto"/>
              <w:jc w:val="left"/>
              <w:rPr>
                <w:rFonts w:hint="eastAsia" w:ascii="宋体" w:hAnsi="宋体" w:cs="宋体"/>
                <w:b/>
                <w:bCs/>
                <w:sz w:val="22"/>
                <w:szCs w:val="22"/>
              </w:rPr>
            </w:pPr>
          </w:p>
        </w:tc>
        <w:tc>
          <w:tcPr>
            <w:tcW w:w="5804" w:type="dxa"/>
          </w:tcPr>
          <w:p w14:paraId="20EF9AFF">
            <w:pPr>
              <w:widowControl/>
              <w:jc w:val="left"/>
              <w:rPr>
                <w:rFonts w:hint="eastAsia"/>
              </w:rPr>
            </w:pPr>
            <w:r>
              <w:rPr>
                <w:rFonts w:hint="eastAsia" w:ascii="宋体" w:hAnsi="宋体" w:cs="宋体"/>
                <w:color w:val="000000"/>
                <w:kern w:val="0"/>
                <w:sz w:val="22"/>
                <w:szCs w:val="22"/>
                <w:lang w:bidi="ar"/>
              </w:rPr>
              <w:t>是否有完善的接管、撤管方案。由评委比较后酌情打分</w:t>
            </w:r>
            <w:r>
              <w:rPr>
                <w:rFonts w:ascii="宋体" w:hAnsi="宋体" w:cs="宋体"/>
                <w:color w:val="000000"/>
                <w:kern w:val="0"/>
                <w:sz w:val="22"/>
                <w:szCs w:val="22"/>
                <w:lang w:bidi="ar"/>
              </w:rPr>
              <w:t>（0-5）</w:t>
            </w:r>
            <w:r>
              <w:rPr>
                <w:rFonts w:hint="eastAsia" w:ascii="宋体" w:hAnsi="宋体" w:cs="宋体"/>
                <w:color w:val="000000"/>
                <w:kern w:val="0"/>
                <w:sz w:val="22"/>
                <w:szCs w:val="22"/>
                <w:lang w:bidi="ar"/>
              </w:rPr>
              <w:t>。</w:t>
            </w:r>
          </w:p>
        </w:tc>
      </w:tr>
      <w:tr w14:paraId="02182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Pr>
          <w:p w14:paraId="350694B6">
            <w:pPr>
              <w:spacing w:line="360" w:lineRule="auto"/>
              <w:jc w:val="center"/>
              <w:rPr>
                <w:rFonts w:hint="eastAsia" w:ascii="宋体" w:hAnsi="宋体" w:cs="宋体"/>
                <w:sz w:val="22"/>
                <w:szCs w:val="22"/>
              </w:rPr>
            </w:pPr>
          </w:p>
        </w:tc>
        <w:tc>
          <w:tcPr>
            <w:tcW w:w="1365" w:type="dxa"/>
            <w:vMerge w:val="restart"/>
          </w:tcPr>
          <w:p w14:paraId="5883EA53">
            <w:pPr>
              <w:widowControl/>
              <w:jc w:val="left"/>
            </w:pPr>
            <w:r>
              <w:rPr>
                <w:rFonts w:hint="eastAsia" w:ascii="宋体" w:hAnsi="宋体" w:cs="宋体"/>
                <w:color w:val="000000"/>
                <w:kern w:val="0"/>
                <w:sz w:val="22"/>
                <w:szCs w:val="22"/>
                <w:lang w:bidi="ar"/>
              </w:rPr>
              <w:t>设备维护及更新方案</w:t>
            </w:r>
          </w:p>
          <w:p w14:paraId="57C154AF">
            <w:pPr>
              <w:spacing w:line="360" w:lineRule="auto"/>
              <w:jc w:val="left"/>
              <w:rPr>
                <w:rFonts w:hint="eastAsia" w:ascii="宋体" w:hAnsi="宋体" w:cs="宋体"/>
                <w:sz w:val="22"/>
                <w:szCs w:val="22"/>
              </w:rPr>
            </w:pPr>
          </w:p>
        </w:tc>
        <w:tc>
          <w:tcPr>
            <w:tcW w:w="1125" w:type="dxa"/>
          </w:tcPr>
          <w:p w14:paraId="2EDA91F2">
            <w:pPr>
              <w:spacing w:line="360" w:lineRule="auto"/>
              <w:jc w:val="left"/>
              <w:rPr>
                <w:rFonts w:hint="eastAsia" w:ascii="宋体" w:hAnsi="宋体" w:cs="宋体"/>
                <w:b/>
                <w:bCs/>
                <w:sz w:val="22"/>
                <w:szCs w:val="22"/>
              </w:rPr>
            </w:pPr>
            <w:r>
              <w:rPr>
                <w:rFonts w:hint="eastAsia" w:ascii="宋体" w:hAnsi="宋体" w:cs="宋体"/>
                <w:b/>
                <w:bCs/>
                <w:sz w:val="22"/>
                <w:szCs w:val="22"/>
              </w:rPr>
              <w:t>4</w:t>
            </w:r>
          </w:p>
        </w:tc>
        <w:tc>
          <w:tcPr>
            <w:tcW w:w="5804" w:type="dxa"/>
          </w:tcPr>
          <w:p w14:paraId="5A5821DE">
            <w:pPr>
              <w:widowControl/>
              <w:jc w:val="left"/>
              <w:rPr>
                <w:rFonts w:hint="eastAsia"/>
              </w:rPr>
            </w:pPr>
            <w:r>
              <w:rPr>
                <w:rFonts w:hint="eastAsia" w:ascii="宋体" w:hAnsi="宋体" w:cs="宋体"/>
                <w:color w:val="000000"/>
                <w:kern w:val="0"/>
                <w:sz w:val="22"/>
                <w:szCs w:val="22"/>
                <w:lang w:bidi="ar"/>
              </w:rPr>
              <w:t>根据投标人对本项目现有设备提出的管理方案是否专业、科学、全面进行评分。由评委比较后酌情打分</w:t>
            </w:r>
            <w:r>
              <w:rPr>
                <w:rFonts w:ascii="宋体" w:hAnsi="宋体" w:cs="宋体"/>
                <w:color w:val="000000"/>
                <w:kern w:val="0"/>
                <w:sz w:val="22"/>
                <w:szCs w:val="22"/>
                <w:lang w:bidi="ar"/>
              </w:rPr>
              <w:t>（0-4）</w:t>
            </w:r>
            <w:r>
              <w:rPr>
                <w:rFonts w:hint="eastAsia" w:ascii="宋体" w:hAnsi="宋体" w:cs="宋体"/>
                <w:color w:val="000000"/>
                <w:kern w:val="0"/>
                <w:sz w:val="22"/>
                <w:szCs w:val="22"/>
                <w:lang w:bidi="ar"/>
              </w:rPr>
              <w:t>。</w:t>
            </w:r>
          </w:p>
        </w:tc>
      </w:tr>
      <w:tr w14:paraId="336E7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Pr>
          <w:p w14:paraId="73CEE5F7">
            <w:pPr>
              <w:spacing w:line="360" w:lineRule="auto"/>
              <w:jc w:val="center"/>
              <w:rPr>
                <w:rFonts w:hint="eastAsia" w:ascii="宋体" w:hAnsi="宋体" w:cs="宋体"/>
                <w:sz w:val="22"/>
                <w:szCs w:val="22"/>
              </w:rPr>
            </w:pPr>
          </w:p>
        </w:tc>
        <w:tc>
          <w:tcPr>
            <w:tcW w:w="1365" w:type="dxa"/>
            <w:vMerge w:val="continue"/>
          </w:tcPr>
          <w:p w14:paraId="63592653">
            <w:pPr>
              <w:spacing w:line="360" w:lineRule="auto"/>
              <w:jc w:val="left"/>
              <w:rPr>
                <w:rFonts w:hint="eastAsia" w:ascii="宋体" w:hAnsi="宋体" w:cs="宋体"/>
                <w:sz w:val="22"/>
                <w:szCs w:val="22"/>
              </w:rPr>
            </w:pPr>
          </w:p>
        </w:tc>
        <w:tc>
          <w:tcPr>
            <w:tcW w:w="1125" w:type="dxa"/>
          </w:tcPr>
          <w:p w14:paraId="6E2016CA">
            <w:pPr>
              <w:spacing w:line="360" w:lineRule="auto"/>
              <w:jc w:val="left"/>
              <w:rPr>
                <w:rFonts w:hint="eastAsia" w:ascii="宋体" w:hAnsi="宋体" w:cs="宋体"/>
                <w:b/>
                <w:bCs/>
                <w:sz w:val="22"/>
                <w:szCs w:val="22"/>
              </w:rPr>
            </w:pPr>
            <w:r>
              <w:rPr>
                <w:rFonts w:hint="eastAsia" w:ascii="宋体" w:hAnsi="宋体" w:cs="宋体"/>
                <w:b/>
                <w:bCs/>
                <w:sz w:val="22"/>
                <w:szCs w:val="22"/>
              </w:rPr>
              <w:t>3</w:t>
            </w:r>
          </w:p>
        </w:tc>
        <w:tc>
          <w:tcPr>
            <w:tcW w:w="5804" w:type="dxa"/>
          </w:tcPr>
          <w:p w14:paraId="0926E010">
            <w:pPr>
              <w:widowControl/>
              <w:jc w:val="left"/>
              <w:rPr>
                <w:rFonts w:hint="eastAsia"/>
              </w:rPr>
            </w:pPr>
            <w:r>
              <w:rPr>
                <w:rFonts w:hint="eastAsia" w:ascii="宋体" w:hAnsi="宋体" w:cs="宋体"/>
                <w:color w:val="000000"/>
                <w:kern w:val="0"/>
                <w:sz w:val="22"/>
                <w:szCs w:val="22"/>
                <w:lang w:bidi="ar"/>
              </w:rPr>
              <w:t>根据投标人针对本项目拟投入的更新设备（从新设备的管理效用、设备价值等方面）进行酌情评分</w:t>
            </w:r>
            <w:r>
              <w:rPr>
                <w:rFonts w:ascii="宋体" w:hAnsi="宋体" w:cs="宋体"/>
                <w:color w:val="000000"/>
                <w:kern w:val="0"/>
                <w:sz w:val="22"/>
                <w:szCs w:val="22"/>
                <w:lang w:bidi="ar"/>
              </w:rPr>
              <w:t>（0-3）</w:t>
            </w:r>
            <w:r>
              <w:rPr>
                <w:rFonts w:hint="eastAsia" w:ascii="宋体" w:hAnsi="宋体" w:cs="宋体"/>
                <w:color w:val="000000"/>
                <w:kern w:val="0"/>
                <w:sz w:val="22"/>
                <w:szCs w:val="22"/>
                <w:lang w:bidi="ar"/>
              </w:rPr>
              <w:t>。</w:t>
            </w:r>
          </w:p>
        </w:tc>
      </w:tr>
      <w:tr w14:paraId="3D002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Pr>
          <w:p w14:paraId="2F8EE4CC">
            <w:pPr>
              <w:spacing w:line="360" w:lineRule="auto"/>
              <w:jc w:val="center"/>
              <w:rPr>
                <w:rFonts w:hint="eastAsia" w:ascii="宋体" w:hAnsi="宋体" w:cs="宋体"/>
                <w:sz w:val="22"/>
                <w:szCs w:val="22"/>
              </w:rPr>
            </w:pPr>
          </w:p>
        </w:tc>
        <w:tc>
          <w:tcPr>
            <w:tcW w:w="1365" w:type="dxa"/>
            <w:vMerge w:val="restart"/>
          </w:tcPr>
          <w:p w14:paraId="17EC401A">
            <w:pPr>
              <w:widowControl/>
              <w:jc w:val="left"/>
            </w:pPr>
            <w:r>
              <w:rPr>
                <w:rFonts w:hint="eastAsia" w:ascii="宋体" w:hAnsi="宋体" w:cs="宋体"/>
                <w:color w:val="000000"/>
                <w:kern w:val="0"/>
                <w:sz w:val="22"/>
                <w:szCs w:val="22"/>
                <w:lang w:bidi="ar"/>
              </w:rPr>
              <w:t>项目实施的人员安排情况</w:t>
            </w:r>
          </w:p>
          <w:p w14:paraId="5D63DEB0">
            <w:pPr>
              <w:spacing w:line="360" w:lineRule="auto"/>
              <w:jc w:val="left"/>
              <w:rPr>
                <w:rFonts w:hint="eastAsia" w:ascii="宋体" w:hAnsi="宋体" w:cs="宋体"/>
                <w:sz w:val="22"/>
                <w:szCs w:val="22"/>
              </w:rPr>
            </w:pPr>
          </w:p>
        </w:tc>
        <w:tc>
          <w:tcPr>
            <w:tcW w:w="1125" w:type="dxa"/>
          </w:tcPr>
          <w:p w14:paraId="5B62FD72">
            <w:pPr>
              <w:spacing w:line="360" w:lineRule="auto"/>
              <w:jc w:val="left"/>
              <w:rPr>
                <w:rFonts w:hint="eastAsia" w:ascii="宋体" w:hAnsi="宋体" w:cs="宋体"/>
                <w:b/>
                <w:bCs/>
                <w:sz w:val="22"/>
                <w:szCs w:val="22"/>
              </w:rPr>
            </w:pPr>
            <w:r>
              <w:rPr>
                <w:rFonts w:hint="eastAsia" w:ascii="宋体" w:hAnsi="宋体" w:cs="宋体"/>
                <w:b/>
                <w:bCs/>
                <w:sz w:val="22"/>
                <w:szCs w:val="22"/>
              </w:rPr>
              <w:t>3</w:t>
            </w:r>
          </w:p>
        </w:tc>
        <w:tc>
          <w:tcPr>
            <w:tcW w:w="5804" w:type="dxa"/>
          </w:tcPr>
          <w:p w14:paraId="0310F7D4">
            <w:pPr>
              <w:widowControl/>
              <w:jc w:val="left"/>
              <w:rPr>
                <w:rFonts w:hint="eastAsia"/>
              </w:rPr>
            </w:pPr>
            <w:r>
              <w:rPr>
                <w:rFonts w:hint="eastAsia" w:ascii="宋体" w:hAnsi="宋体" w:cs="宋体"/>
                <w:color w:val="000000"/>
                <w:kern w:val="0"/>
                <w:sz w:val="22"/>
                <w:szCs w:val="22"/>
                <w:lang w:bidi="ar"/>
              </w:rPr>
              <w:t>针对人员招聘、管理以及培训计划进行酌情评分</w:t>
            </w:r>
            <w:r>
              <w:rPr>
                <w:rFonts w:ascii="宋体" w:hAnsi="宋体" w:cs="宋体"/>
                <w:color w:val="000000"/>
                <w:kern w:val="0"/>
                <w:sz w:val="22"/>
                <w:szCs w:val="22"/>
                <w:lang w:bidi="ar"/>
              </w:rPr>
              <w:t>（0-3）</w:t>
            </w:r>
            <w:r>
              <w:rPr>
                <w:rFonts w:hint="eastAsia" w:ascii="宋体" w:hAnsi="宋体" w:cs="宋体"/>
                <w:color w:val="000000"/>
                <w:kern w:val="0"/>
                <w:sz w:val="22"/>
                <w:szCs w:val="22"/>
                <w:lang w:bidi="ar"/>
              </w:rPr>
              <w:t>。</w:t>
            </w:r>
          </w:p>
        </w:tc>
      </w:tr>
      <w:tr w14:paraId="25D65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Pr>
          <w:p w14:paraId="49461728">
            <w:pPr>
              <w:spacing w:line="360" w:lineRule="auto"/>
              <w:jc w:val="center"/>
              <w:rPr>
                <w:rFonts w:hint="eastAsia" w:ascii="宋体" w:hAnsi="宋体" w:cs="宋体"/>
                <w:sz w:val="22"/>
                <w:szCs w:val="22"/>
              </w:rPr>
            </w:pPr>
          </w:p>
        </w:tc>
        <w:tc>
          <w:tcPr>
            <w:tcW w:w="1365" w:type="dxa"/>
            <w:vMerge w:val="continue"/>
          </w:tcPr>
          <w:p w14:paraId="20F34415">
            <w:pPr>
              <w:spacing w:line="360" w:lineRule="auto"/>
              <w:jc w:val="left"/>
              <w:rPr>
                <w:rFonts w:hint="eastAsia" w:ascii="宋体" w:hAnsi="宋体" w:cs="宋体"/>
                <w:sz w:val="22"/>
                <w:szCs w:val="22"/>
              </w:rPr>
            </w:pPr>
          </w:p>
        </w:tc>
        <w:tc>
          <w:tcPr>
            <w:tcW w:w="1125" w:type="dxa"/>
          </w:tcPr>
          <w:p w14:paraId="2F879858">
            <w:pPr>
              <w:spacing w:line="360" w:lineRule="auto"/>
              <w:jc w:val="left"/>
              <w:rPr>
                <w:rFonts w:hint="eastAsia" w:ascii="宋体" w:hAnsi="宋体" w:cs="宋体"/>
                <w:b/>
                <w:bCs/>
                <w:sz w:val="22"/>
                <w:szCs w:val="22"/>
              </w:rPr>
            </w:pPr>
            <w:r>
              <w:rPr>
                <w:rFonts w:hint="eastAsia" w:ascii="宋体" w:hAnsi="宋体" w:cs="宋体"/>
                <w:b/>
                <w:bCs/>
                <w:sz w:val="22"/>
                <w:szCs w:val="22"/>
              </w:rPr>
              <w:t>4</w:t>
            </w:r>
          </w:p>
        </w:tc>
        <w:tc>
          <w:tcPr>
            <w:tcW w:w="5804" w:type="dxa"/>
          </w:tcPr>
          <w:p w14:paraId="7FEC4314">
            <w:pPr>
              <w:widowControl/>
              <w:jc w:val="left"/>
            </w:pPr>
            <w:r>
              <w:rPr>
                <w:rFonts w:hint="eastAsia" w:ascii="宋体" w:hAnsi="宋体" w:cs="宋体"/>
                <w:color w:val="000000"/>
                <w:kern w:val="0"/>
                <w:sz w:val="22"/>
                <w:szCs w:val="22"/>
                <w:lang w:bidi="ar"/>
              </w:rPr>
              <w:t>岗位职责、人员配备、班次安排情况是否满足要求，突发事件人员投入情况等进行酌情评分</w:t>
            </w:r>
            <w:r>
              <w:rPr>
                <w:rFonts w:ascii="宋体" w:hAnsi="宋体" w:cs="宋体"/>
                <w:color w:val="000000"/>
                <w:kern w:val="0"/>
                <w:sz w:val="22"/>
                <w:szCs w:val="22"/>
                <w:lang w:bidi="ar"/>
              </w:rPr>
              <w:t>（0-4）</w:t>
            </w:r>
            <w:r>
              <w:rPr>
                <w:rFonts w:hint="eastAsia" w:ascii="宋体" w:hAnsi="宋体" w:cs="宋体"/>
                <w:color w:val="000000"/>
                <w:kern w:val="0"/>
                <w:sz w:val="22"/>
                <w:szCs w:val="22"/>
                <w:lang w:bidi="ar"/>
              </w:rPr>
              <w:t>。</w:t>
            </w:r>
          </w:p>
        </w:tc>
      </w:tr>
      <w:tr w14:paraId="13913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Pr>
          <w:p w14:paraId="2A08139E">
            <w:pPr>
              <w:spacing w:line="360" w:lineRule="auto"/>
              <w:jc w:val="center"/>
              <w:rPr>
                <w:rFonts w:hint="eastAsia" w:ascii="宋体" w:hAnsi="宋体" w:cs="宋体"/>
                <w:sz w:val="22"/>
                <w:szCs w:val="22"/>
              </w:rPr>
            </w:pPr>
          </w:p>
        </w:tc>
        <w:tc>
          <w:tcPr>
            <w:tcW w:w="1365" w:type="dxa"/>
            <w:vMerge w:val="continue"/>
          </w:tcPr>
          <w:p w14:paraId="12E56FF7">
            <w:pPr>
              <w:spacing w:line="360" w:lineRule="auto"/>
              <w:jc w:val="left"/>
              <w:rPr>
                <w:rFonts w:hint="eastAsia" w:ascii="宋体" w:hAnsi="宋体" w:cs="宋体"/>
                <w:sz w:val="22"/>
                <w:szCs w:val="22"/>
              </w:rPr>
            </w:pPr>
          </w:p>
        </w:tc>
        <w:tc>
          <w:tcPr>
            <w:tcW w:w="1125" w:type="dxa"/>
          </w:tcPr>
          <w:p w14:paraId="070508DC">
            <w:pPr>
              <w:spacing w:line="360" w:lineRule="auto"/>
              <w:jc w:val="left"/>
              <w:rPr>
                <w:rFonts w:hint="eastAsia" w:ascii="宋体" w:hAnsi="宋体" w:cs="宋体"/>
                <w:b/>
                <w:bCs/>
                <w:sz w:val="22"/>
                <w:szCs w:val="22"/>
              </w:rPr>
            </w:pPr>
            <w:r>
              <w:rPr>
                <w:rFonts w:hint="eastAsia" w:ascii="宋体" w:hAnsi="宋体" w:cs="宋体"/>
                <w:b/>
                <w:bCs/>
                <w:sz w:val="22"/>
                <w:szCs w:val="22"/>
              </w:rPr>
              <w:t>4</w:t>
            </w:r>
          </w:p>
        </w:tc>
        <w:tc>
          <w:tcPr>
            <w:tcW w:w="5804" w:type="dxa"/>
          </w:tcPr>
          <w:p w14:paraId="76EA3F74">
            <w:pPr>
              <w:widowControl/>
              <w:jc w:val="left"/>
            </w:pPr>
            <w:r>
              <w:rPr>
                <w:rFonts w:hint="eastAsia" w:ascii="宋体" w:hAnsi="宋体" w:cs="宋体"/>
                <w:color w:val="000000"/>
                <w:kern w:val="0"/>
                <w:sz w:val="22"/>
                <w:szCs w:val="22"/>
                <w:lang w:bidi="ar"/>
              </w:rPr>
              <w:t>根据投标方案中人员配备的数量情况，与招标文件中要求的最低配置数量要求相比，</w:t>
            </w:r>
            <w:r>
              <w:rPr>
                <w:rFonts w:ascii="宋体" w:hAnsi="宋体" w:cs="宋体"/>
                <w:color w:val="000000"/>
                <w:kern w:val="0"/>
                <w:sz w:val="22"/>
                <w:szCs w:val="22"/>
                <w:lang w:bidi="ar"/>
              </w:rPr>
              <w:t>满足要求得2分，</w:t>
            </w:r>
            <w:r>
              <w:rPr>
                <w:rFonts w:hint="eastAsia" w:ascii="宋体" w:hAnsi="宋体" w:cs="宋体"/>
                <w:color w:val="000000"/>
                <w:kern w:val="0"/>
                <w:sz w:val="22"/>
                <w:szCs w:val="22"/>
                <w:lang w:bidi="ar"/>
              </w:rPr>
              <w:t>每实际增加 1 个人，得 1 分。</w:t>
            </w:r>
          </w:p>
        </w:tc>
      </w:tr>
      <w:tr w14:paraId="2D6A0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Pr>
          <w:p w14:paraId="445DD27A">
            <w:pPr>
              <w:spacing w:line="360" w:lineRule="auto"/>
              <w:jc w:val="center"/>
              <w:rPr>
                <w:rFonts w:hint="eastAsia" w:ascii="宋体" w:hAnsi="宋体" w:cs="宋体"/>
                <w:sz w:val="22"/>
                <w:szCs w:val="22"/>
              </w:rPr>
            </w:pPr>
          </w:p>
        </w:tc>
        <w:tc>
          <w:tcPr>
            <w:tcW w:w="1365" w:type="dxa"/>
          </w:tcPr>
          <w:p w14:paraId="5E605F7F">
            <w:pPr>
              <w:widowControl/>
              <w:jc w:val="left"/>
            </w:pPr>
            <w:r>
              <w:rPr>
                <w:rFonts w:hint="eastAsia" w:ascii="宋体" w:hAnsi="宋体" w:cs="宋体"/>
                <w:color w:val="000000"/>
                <w:kern w:val="0"/>
                <w:sz w:val="22"/>
                <w:szCs w:val="22"/>
                <w:lang w:bidi="ar"/>
              </w:rPr>
              <w:t>合理化建议</w:t>
            </w:r>
          </w:p>
          <w:p w14:paraId="323C686C">
            <w:pPr>
              <w:spacing w:line="360" w:lineRule="auto"/>
              <w:jc w:val="left"/>
              <w:rPr>
                <w:rFonts w:hint="eastAsia" w:ascii="宋体" w:hAnsi="宋体" w:cs="宋体"/>
                <w:sz w:val="22"/>
                <w:szCs w:val="22"/>
              </w:rPr>
            </w:pPr>
          </w:p>
        </w:tc>
        <w:tc>
          <w:tcPr>
            <w:tcW w:w="1125" w:type="dxa"/>
          </w:tcPr>
          <w:p w14:paraId="527ED68B">
            <w:pPr>
              <w:spacing w:line="360" w:lineRule="auto"/>
              <w:jc w:val="left"/>
              <w:rPr>
                <w:rFonts w:hint="eastAsia" w:ascii="宋体" w:hAnsi="宋体" w:cs="宋体"/>
                <w:b/>
                <w:bCs/>
                <w:sz w:val="22"/>
                <w:szCs w:val="22"/>
              </w:rPr>
            </w:pPr>
            <w:r>
              <w:rPr>
                <w:rFonts w:hint="eastAsia" w:ascii="宋体" w:hAnsi="宋体" w:cs="宋体"/>
                <w:b/>
                <w:bCs/>
                <w:sz w:val="22"/>
                <w:szCs w:val="22"/>
              </w:rPr>
              <w:t>3</w:t>
            </w:r>
          </w:p>
        </w:tc>
        <w:tc>
          <w:tcPr>
            <w:tcW w:w="5804" w:type="dxa"/>
          </w:tcPr>
          <w:p w14:paraId="0A02EDD0">
            <w:pPr>
              <w:widowControl/>
              <w:jc w:val="left"/>
            </w:pPr>
            <w:r>
              <w:rPr>
                <w:rFonts w:hint="eastAsia" w:ascii="宋体" w:hAnsi="宋体" w:cs="宋体"/>
                <w:color w:val="000000"/>
                <w:kern w:val="0"/>
                <w:sz w:val="22"/>
                <w:szCs w:val="22"/>
                <w:lang w:bidi="ar"/>
              </w:rPr>
              <w:t>针对本项目的实施，提出合理化建议。由评委比较后酌情打分</w:t>
            </w:r>
            <w:r>
              <w:rPr>
                <w:rFonts w:ascii="宋体" w:hAnsi="宋体" w:cs="宋体"/>
                <w:color w:val="000000"/>
                <w:kern w:val="0"/>
                <w:sz w:val="22"/>
                <w:szCs w:val="22"/>
                <w:lang w:bidi="ar"/>
              </w:rPr>
              <w:t>（0-3）</w:t>
            </w:r>
            <w:r>
              <w:rPr>
                <w:rFonts w:hint="eastAsia" w:ascii="宋体" w:hAnsi="宋体" w:cs="宋体"/>
                <w:color w:val="000000"/>
                <w:kern w:val="0"/>
                <w:sz w:val="22"/>
                <w:szCs w:val="22"/>
                <w:lang w:bidi="ar"/>
              </w:rPr>
              <w:t>。</w:t>
            </w:r>
          </w:p>
        </w:tc>
      </w:tr>
      <w:tr w14:paraId="61E86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trPr>
        <w:tc>
          <w:tcPr>
            <w:tcW w:w="1560" w:type="dxa"/>
            <w:vMerge w:val="continue"/>
          </w:tcPr>
          <w:p w14:paraId="57B90E25">
            <w:pPr>
              <w:spacing w:line="360" w:lineRule="auto"/>
              <w:jc w:val="center"/>
              <w:rPr>
                <w:rFonts w:hint="eastAsia" w:ascii="宋体" w:hAnsi="宋体" w:cs="宋体"/>
                <w:sz w:val="22"/>
                <w:szCs w:val="22"/>
              </w:rPr>
            </w:pPr>
          </w:p>
        </w:tc>
        <w:tc>
          <w:tcPr>
            <w:tcW w:w="1365" w:type="dxa"/>
          </w:tcPr>
          <w:p w14:paraId="71608BC3">
            <w:pPr>
              <w:widowControl/>
              <w:jc w:val="left"/>
            </w:pPr>
            <w:r>
              <w:rPr>
                <w:rFonts w:hint="eastAsia" w:ascii="宋体" w:hAnsi="宋体" w:cs="宋体"/>
                <w:color w:val="000000"/>
                <w:kern w:val="0"/>
                <w:sz w:val="22"/>
                <w:szCs w:val="22"/>
                <w:lang w:bidi="ar"/>
              </w:rPr>
              <w:t>优惠承诺情况</w:t>
            </w:r>
          </w:p>
          <w:p w14:paraId="1FDEAE61">
            <w:pPr>
              <w:spacing w:line="360" w:lineRule="auto"/>
              <w:jc w:val="left"/>
              <w:rPr>
                <w:rFonts w:hint="eastAsia" w:ascii="宋体" w:hAnsi="宋体" w:cs="宋体"/>
                <w:sz w:val="22"/>
                <w:szCs w:val="22"/>
              </w:rPr>
            </w:pPr>
          </w:p>
        </w:tc>
        <w:tc>
          <w:tcPr>
            <w:tcW w:w="1125" w:type="dxa"/>
          </w:tcPr>
          <w:p w14:paraId="3CD48080">
            <w:pPr>
              <w:spacing w:line="360" w:lineRule="auto"/>
              <w:jc w:val="left"/>
              <w:rPr>
                <w:rFonts w:hint="eastAsia" w:ascii="宋体" w:hAnsi="宋体" w:cs="宋体"/>
                <w:b/>
                <w:bCs/>
                <w:sz w:val="22"/>
                <w:szCs w:val="22"/>
              </w:rPr>
            </w:pPr>
            <w:r>
              <w:rPr>
                <w:rFonts w:hint="eastAsia" w:ascii="宋体" w:hAnsi="宋体" w:cs="宋体"/>
                <w:b/>
                <w:bCs/>
                <w:sz w:val="22"/>
                <w:szCs w:val="22"/>
              </w:rPr>
              <w:t>3</w:t>
            </w:r>
          </w:p>
        </w:tc>
        <w:tc>
          <w:tcPr>
            <w:tcW w:w="5804" w:type="dxa"/>
          </w:tcPr>
          <w:p w14:paraId="7FA1167B">
            <w:pPr>
              <w:widowControl/>
              <w:jc w:val="left"/>
            </w:pPr>
            <w:r>
              <w:rPr>
                <w:rFonts w:hint="eastAsia" w:ascii="宋体" w:hAnsi="宋体" w:cs="宋体"/>
                <w:color w:val="000000"/>
                <w:kern w:val="0"/>
                <w:sz w:val="22"/>
                <w:szCs w:val="22"/>
                <w:lang w:bidi="ar"/>
              </w:rPr>
              <w:t>给出优惠和承诺，程度如何；对后续服务等方面的优惠承诺，以及其他特色服务和响应措施等情况。由评委比较后酌情打分</w:t>
            </w:r>
            <w:r>
              <w:rPr>
                <w:rFonts w:ascii="宋体" w:hAnsi="宋体" w:cs="宋体"/>
                <w:color w:val="000000"/>
                <w:kern w:val="0"/>
                <w:sz w:val="22"/>
                <w:szCs w:val="22"/>
                <w:lang w:bidi="ar"/>
              </w:rPr>
              <w:t>（0-3）</w:t>
            </w:r>
            <w:r>
              <w:rPr>
                <w:rFonts w:hint="eastAsia" w:ascii="宋体" w:hAnsi="宋体" w:cs="宋体"/>
                <w:color w:val="000000"/>
                <w:kern w:val="0"/>
                <w:sz w:val="22"/>
                <w:szCs w:val="22"/>
                <w:lang w:bidi="ar"/>
              </w:rPr>
              <w:t>。</w:t>
            </w:r>
          </w:p>
        </w:tc>
      </w:tr>
      <w:tr w14:paraId="7B03F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restart"/>
          </w:tcPr>
          <w:p w14:paraId="2B2AA349">
            <w:pPr>
              <w:widowControl/>
              <w:jc w:val="center"/>
            </w:pPr>
            <w:r>
              <w:rPr>
                <w:rFonts w:hint="eastAsia" w:ascii="宋体" w:hAnsi="宋体" w:cs="宋体"/>
                <w:color w:val="000000"/>
                <w:kern w:val="0"/>
                <w:sz w:val="22"/>
                <w:szCs w:val="22"/>
                <w:lang w:bidi="ar"/>
              </w:rPr>
              <w:t>资信标（10</w:t>
            </w:r>
          </w:p>
          <w:p w14:paraId="1DC6E869">
            <w:pPr>
              <w:widowControl/>
              <w:jc w:val="center"/>
            </w:pPr>
            <w:r>
              <w:rPr>
                <w:rFonts w:hint="eastAsia" w:ascii="宋体" w:hAnsi="宋体" w:cs="宋体"/>
                <w:color w:val="000000"/>
                <w:kern w:val="0"/>
                <w:sz w:val="22"/>
                <w:szCs w:val="22"/>
                <w:lang w:bidi="ar"/>
              </w:rPr>
              <w:t>分）</w:t>
            </w:r>
          </w:p>
          <w:p w14:paraId="72CEC328">
            <w:pPr>
              <w:spacing w:line="360" w:lineRule="auto"/>
              <w:jc w:val="center"/>
              <w:rPr>
                <w:rFonts w:hint="eastAsia" w:ascii="宋体" w:hAnsi="宋体" w:cs="宋体"/>
                <w:sz w:val="22"/>
                <w:szCs w:val="22"/>
              </w:rPr>
            </w:pPr>
          </w:p>
        </w:tc>
        <w:tc>
          <w:tcPr>
            <w:tcW w:w="1365" w:type="dxa"/>
          </w:tcPr>
          <w:p w14:paraId="0121CC86">
            <w:pPr>
              <w:widowControl/>
              <w:jc w:val="left"/>
            </w:pPr>
            <w:r>
              <w:rPr>
                <w:rFonts w:hint="eastAsia" w:ascii="宋体" w:hAnsi="宋体" w:cs="宋体"/>
                <w:color w:val="000000"/>
                <w:kern w:val="0"/>
                <w:sz w:val="22"/>
                <w:szCs w:val="22"/>
                <w:lang w:bidi="ar"/>
              </w:rPr>
              <w:t>行 业 认 证</w:t>
            </w:r>
          </w:p>
          <w:p w14:paraId="08AFCEE1">
            <w:pPr>
              <w:spacing w:line="360" w:lineRule="auto"/>
              <w:jc w:val="left"/>
              <w:rPr>
                <w:rFonts w:hint="eastAsia" w:ascii="宋体" w:hAnsi="宋体" w:cs="宋体"/>
                <w:sz w:val="22"/>
                <w:szCs w:val="22"/>
              </w:rPr>
            </w:pPr>
          </w:p>
        </w:tc>
        <w:tc>
          <w:tcPr>
            <w:tcW w:w="1125" w:type="dxa"/>
          </w:tcPr>
          <w:p w14:paraId="5BA048EE">
            <w:pPr>
              <w:widowControl/>
              <w:jc w:val="left"/>
            </w:pPr>
            <w:r>
              <w:rPr>
                <w:rFonts w:hint="eastAsia" w:ascii="宋体" w:hAnsi="宋体" w:cs="宋体"/>
                <w:color w:val="000000"/>
                <w:kern w:val="0"/>
                <w:sz w:val="22"/>
                <w:szCs w:val="22"/>
                <w:lang w:bidi="ar"/>
              </w:rPr>
              <w:t>0-3</w:t>
            </w:r>
          </w:p>
          <w:p w14:paraId="2F1ACAD6">
            <w:pPr>
              <w:spacing w:line="360" w:lineRule="auto"/>
              <w:jc w:val="left"/>
              <w:rPr>
                <w:rFonts w:hint="eastAsia" w:ascii="宋体" w:hAnsi="宋体" w:cs="宋体"/>
                <w:b/>
                <w:bCs/>
                <w:sz w:val="22"/>
                <w:szCs w:val="22"/>
              </w:rPr>
            </w:pPr>
          </w:p>
        </w:tc>
        <w:tc>
          <w:tcPr>
            <w:tcW w:w="5804" w:type="dxa"/>
          </w:tcPr>
          <w:p w14:paraId="6EE2A0AD">
            <w:pPr>
              <w:widowControl/>
              <w:jc w:val="left"/>
            </w:pPr>
            <w:r>
              <w:rPr>
                <w:rFonts w:hint="eastAsia" w:ascii="宋体" w:hAnsi="宋体" w:cs="宋体"/>
                <w:color w:val="000000"/>
                <w:kern w:val="0"/>
                <w:sz w:val="22"/>
                <w:szCs w:val="22"/>
                <w:lang w:bidi="ar"/>
              </w:rPr>
              <w:t>投标人取得 ISO9000 系列质量管理体系认证证书、ISO14001 环境管理体系认证、GB/T28001 职业健康安全体系认证</w:t>
            </w:r>
            <w:r>
              <w:rPr>
                <w:rFonts w:ascii="宋体" w:hAnsi="宋体" w:cs="宋体"/>
                <w:color w:val="000000"/>
                <w:kern w:val="0"/>
                <w:sz w:val="22"/>
                <w:szCs w:val="22"/>
                <w:lang w:bidi="ar"/>
              </w:rPr>
              <w:t>（需覆盖停车管理）</w:t>
            </w:r>
            <w:r>
              <w:rPr>
                <w:rFonts w:hint="eastAsia" w:ascii="宋体" w:hAnsi="宋体" w:cs="宋体"/>
                <w:color w:val="000000"/>
                <w:kern w:val="0"/>
                <w:sz w:val="22"/>
                <w:szCs w:val="22"/>
                <w:lang w:bidi="ar"/>
              </w:rPr>
              <w:t>。每提供 1 个证书得 1 分。最高得 3 分。</w:t>
            </w:r>
          </w:p>
          <w:p w14:paraId="073AEF88">
            <w:pPr>
              <w:spacing w:line="360" w:lineRule="auto"/>
              <w:jc w:val="left"/>
              <w:rPr>
                <w:rFonts w:hint="eastAsia" w:ascii="宋体" w:hAnsi="宋体" w:cs="宋体"/>
                <w:sz w:val="22"/>
                <w:szCs w:val="22"/>
              </w:rPr>
            </w:pPr>
          </w:p>
        </w:tc>
      </w:tr>
      <w:tr w14:paraId="7FCCD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Pr>
          <w:p w14:paraId="612B4C07">
            <w:pPr>
              <w:spacing w:line="360" w:lineRule="auto"/>
              <w:jc w:val="center"/>
              <w:rPr>
                <w:rFonts w:hint="eastAsia" w:ascii="宋体" w:hAnsi="宋体" w:cs="宋体"/>
                <w:sz w:val="22"/>
                <w:szCs w:val="22"/>
              </w:rPr>
            </w:pPr>
          </w:p>
        </w:tc>
        <w:tc>
          <w:tcPr>
            <w:tcW w:w="1365" w:type="dxa"/>
          </w:tcPr>
          <w:p w14:paraId="55109EDB">
            <w:pPr>
              <w:widowControl/>
              <w:jc w:val="left"/>
            </w:pPr>
            <w:r>
              <w:rPr>
                <w:rFonts w:hint="eastAsia" w:ascii="宋体" w:hAnsi="宋体" w:cs="宋体"/>
                <w:color w:val="000000"/>
                <w:kern w:val="0"/>
                <w:sz w:val="22"/>
                <w:szCs w:val="22"/>
                <w:lang w:bidi="ar"/>
              </w:rPr>
              <w:t>企 业 信誉</w:t>
            </w:r>
          </w:p>
          <w:p w14:paraId="79AB0A20">
            <w:pPr>
              <w:spacing w:line="360" w:lineRule="auto"/>
              <w:jc w:val="left"/>
              <w:rPr>
                <w:rFonts w:hint="eastAsia" w:ascii="宋体" w:hAnsi="宋体" w:cs="宋体"/>
                <w:sz w:val="22"/>
                <w:szCs w:val="22"/>
              </w:rPr>
            </w:pPr>
          </w:p>
        </w:tc>
        <w:tc>
          <w:tcPr>
            <w:tcW w:w="1125" w:type="dxa"/>
          </w:tcPr>
          <w:p w14:paraId="31B07446">
            <w:pPr>
              <w:widowControl/>
              <w:jc w:val="left"/>
            </w:pPr>
            <w:r>
              <w:rPr>
                <w:rFonts w:hint="eastAsia" w:ascii="宋体" w:hAnsi="宋体" w:cs="宋体"/>
                <w:color w:val="000000"/>
                <w:kern w:val="0"/>
                <w:sz w:val="22"/>
                <w:szCs w:val="22"/>
                <w:lang w:bidi="ar"/>
              </w:rPr>
              <w:t>0-1</w:t>
            </w:r>
          </w:p>
          <w:p w14:paraId="596964A4">
            <w:pPr>
              <w:spacing w:line="360" w:lineRule="auto"/>
              <w:jc w:val="left"/>
              <w:rPr>
                <w:rFonts w:hint="eastAsia" w:ascii="宋体" w:hAnsi="宋体" w:cs="宋体"/>
                <w:b/>
                <w:bCs/>
                <w:sz w:val="22"/>
                <w:szCs w:val="22"/>
              </w:rPr>
            </w:pPr>
          </w:p>
        </w:tc>
        <w:tc>
          <w:tcPr>
            <w:tcW w:w="5804" w:type="dxa"/>
          </w:tcPr>
          <w:p w14:paraId="416CA398">
            <w:pPr>
              <w:widowControl/>
              <w:jc w:val="left"/>
              <w:rPr>
                <w:rFonts w:hint="eastAsia"/>
              </w:rPr>
            </w:pPr>
            <w:r>
              <w:rPr>
                <w:rFonts w:hint="eastAsia" w:ascii="宋体" w:hAnsi="宋体" w:cs="宋体"/>
                <w:color w:val="000000"/>
                <w:kern w:val="0"/>
                <w:sz w:val="22"/>
                <w:szCs w:val="22"/>
                <w:lang w:bidi="ar"/>
              </w:rPr>
              <w:t>投标人在国家企业信用信息公示系统中无行政处罚记录和未被列入经营异常名录的得 1 分，否则不得分。（需提供网上公示截图和查询网址）</w:t>
            </w:r>
          </w:p>
        </w:tc>
      </w:tr>
      <w:tr w14:paraId="6E7A8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Pr>
          <w:p w14:paraId="6FA95335">
            <w:pPr>
              <w:spacing w:line="360" w:lineRule="auto"/>
              <w:jc w:val="center"/>
              <w:rPr>
                <w:rFonts w:hint="eastAsia" w:ascii="宋体" w:hAnsi="宋体" w:cs="宋体"/>
                <w:sz w:val="22"/>
                <w:szCs w:val="22"/>
              </w:rPr>
            </w:pPr>
          </w:p>
        </w:tc>
        <w:tc>
          <w:tcPr>
            <w:tcW w:w="1365" w:type="dxa"/>
          </w:tcPr>
          <w:p w14:paraId="4DEA002E">
            <w:pPr>
              <w:widowControl/>
              <w:jc w:val="left"/>
            </w:pPr>
            <w:r>
              <w:rPr>
                <w:rFonts w:hint="eastAsia" w:ascii="宋体" w:hAnsi="宋体" w:cs="宋体"/>
                <w:color w:val="000000"/>
                <w:kern w:val="0"/>
                <w:sz w:val="22"/>
                <w:szCs w:val="22"/>
                <w:lang w:bidi="ar"/>
              </w:rPr>
              <w:t xml:space="preserve">投 标 人 类 似项 目 的 </w:t>
            </w:r>
            <w:r>
              <w:rPr>
                <w:rFonts w:hint="eastAsia" w:ascii="宋体" w:hAnsi="宋体" w:cs="宋体"/>
                <w:color w:val="000000"/>
                <w:kern w:val="0"/>
                <w:szCs w:val="21"/>
                <w:lang w:bidi="ar"/>
              </w:rPr>
              <w:t>成 功经 验</w:t>
            </w:r>
          </w:p>
          <w:p w14:paraId="2515BC27">
            <w:pPr>
              <w:spacing w:line="360" w:lineRule="auto"/>
              <w:jc w:val="left"/>
              <w:rPr>
                <w:rFonts w:hint="eastAsia" w:ascii="宋体" w:hAnsi="宋体" w:cs="宋体"/>
                <w:sz w:val="22"/>
                <w:szCs w:val="22"/>
              </w:rPr>
            </w:pPr>
          </w:p>
        </w:tc>
        <w:tc>
          <w:tcPr>
            <w:tcW w:w="1125" w:type="dxa"/>
          </w:tcPr>
          <w:p w14:paraId="4DDFFD08">
            <w:pPr>
              <w:widowControl/>
              <w:jc w:val="left"/>
            </w:pPr>
            <w:r>
              <w:rPr>
                <w:rFonts w:hint="eastAsia" w:ascii="宋体" w:hAnsi="宋体" w:cs="宋体"/>
                <w:color w:val="000000"/>
                <w:kern w:val="0"/>
                <w:sz w:val="22"/>
                <w:szCs w:val="22"/>
                <w:lang w:bidi="ar"/>
              </w:rPr>
              <w:t>0-2</w:t>
            </w:r>
          </w:p>
          <w:p w14:paraId="24FB0615">
            <w:pPr>
              <w:spacing w:line="360" w:lineRule="auto"/>
              <w:jc w:val="left"/>
              <w:rPr>
                <w:rFonts w:hint="eastAsia" w:ascii="宋体" w:hAnsi="宋体" w:cs="宋体"/>
                <w:b/>
                <w:bCs/>
                <w:sz w:val="22"/>
                <w:szCs w:val="22"/>
              </w:rPr>
            </w:pPr>
          </w:p>
        </w:tc>
        <w:tc>
          <w:tcPr>
            <w:tcW w:w="5804" w:type="dxa"/>
          </w:tcPr>
          <w:p w14:paraId="4D2515DD">
            <w:pPr>
              <w:widowControl/>
              <w:jc w:val="left"/>
            </w:pPr>
            <w:r>
              <w:rPr>
                <w:rFonts w:hint="eastAsia" w:ascii="宋体" w:hAnsi="宋体" w:cs="宋体"/>
                <w:color w:val="000000"/>
                <w:kern w:val="0"/>
                <w:sz w:val="22"/>
                <w:szCs w:val="22"/>
                <w:lang w:bidi="ar"/>
              </w:rPr>
              <w:t>投标人自 2022 年1月1 日以来有自主运营超过300个以上泊位数的社会公共停车场（库）管理运营业绩</w:t>
            </w:r>
            <w:r>
              <w:rPr>
                <w:rFonts w:ascii="宋体" w:hAnsi="宋体" w:cs="宋体"/>
                <w:color w:val="000000"/>
                <w:kern w:val="0"/>
                <w:sz w:val="22"/>
                <w:szCs w:val="22"/>
                <w:lang w:bidi="ar"/>
              </w:rPr>
              <w:t>（以签订时间为准）</w:t>
            </w:r>
            <w:r>
              <w:rPr>
                <w:rFonts w:hint="eastAsia" w:ascii="宋体" w:hAnsi="宋体" w:cs="宋体"/>
                <w:color w:val="000000"/>
                <w:kern w:val="0"/>
                <w:sz w:val="22"/>
                <w:szCs w:val="22"/>
                <w:lang w:bidi="ar"/>
              </w:rPr>
              <w:t>。每提供一个合同复印件得</w:t>
            </w:r>
            <w:r>
              <w:rPr>
                <w:rFonts w:ascii="宋体" w:hAnsi="宋体" w:cs="宋体"/>
                <w:color w:val="000000"/>
                <w:kern w:val="0"/>
                <w:sz w:val="22"/>
                <w:szCs w:val="22"/>
                <w:lang w:bidi="ar"/>
              </w:rPr>
              <w:t>0.5</w:t>
            </w:r>
            <w:r>
              <w:rPr>
                <w:rFonts w:hint="eastAsia" w:ascii="宋体" w:hAnsi="宋体" w:cs="宋体"/>
                <w:color w:val="000000"/>
                <w:kern w:val="0"/>
                <w:sz w:val="22"/>
                <w:szCs w:val="22"/>
                <w:lang w:bidi="ar"/>
              </w:rPr>
              <w:t>分，最多得2 分。</w:t>
            </w:r>
          </w:p>
          <w:p w14:paraId="22C4AF01">
            <w:pPr>
              <w:spacing w:line="360" w:lineRule="auto"/>
              <w:jc w:val="left"/>
              <w:rPr>
                <w:rFonts w:hint="eastAsia" w:ascii="宋体" w:hAnsi="宋体" w:cs="宋体"/>
                <w:sz w:val="22"/>
                <w:szCs w:val="22"/>
              </w:rPr>
            </w:pPr>
          </w:p>
        </w:tc>
      </w:tr>
      <w:tr w14:paraId="19985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Pr>
          <w:p w14:paraId="6E6E2F12">
            <w:pPr>
              <w:spacing w:line="360" w:lineRule="auto"/>
              <w:jc w:val="center"/>
              <w:rPr>
                <w:rFonts w:hint="eastAsia" w:ascii="宋体" w:hAnsi="宋体" w:cs="宋体"/>
                <w:sz w:val="22"/>
                <w:szCs w:val="22"/>
              </w:rPr>
            </w:pPr>
          </w:p>
        </w:tc>
        <w:tc>
          <w:tcPr>
            <w:tcW w:w="1365" w:type="dxa"/>
          </w:tcPr>
          <w:p w14:paraId="1410B483">
            <w:pPr>
              <w:widowControl/>
              <w:jc w:val="left"/>
            </w:pPr>
            <w:r>
              <w:rPr>
                <w:rFonts w:hint="eastAsia" w:ascii="宋体" w:hAnsi="宋体" w:cs="宋体"/>
                <w:color w:val="000000"/>
                <w:kern w:val="0"/>
                <w:sz w:val="22"/>
                <w:szCs w:val="22"/>
                <w:lang w:bidi="ar"/>
              </w:rPr>
              <w:t>财 务 报 告</w:t>
            </w:r>
          </w:p>
          <w:p w14:paraId="5FE9B983">
            <w:pPr>
              <w:spacing w:line="360" w:lineRule="auto"/>
              <w:jc w:val="left"/>
              <w:rPr>
                <w:rFonts w:hint="eastAsia" w:ascii="宋体" w:hAnsi="宋体" w:cs="宋体"/>
                <w:sz w:val="22"/>
                <w:szCs w:val="22"/>
              </w:rPr>
            </w:pPr>
          </w:p>
        </w:tc>
        <w:tc>
          <w:tcPr>
            <w:tcW w:w="1125" w:type="dxa"/>
          </w:tcPr>
          <w:p w14:paraId="247ED213">
            <w:pPr>
              <w:widowControl/>
              <w:jc w:val="left"/>
            </w:pPr>
            <w:r>
              <w:rPr>
                <w:rFonts w:hint="eastAsia" w:ascii="宋体" w:hAnsi="宋体" w:cs="宋体"/>
                <w:color w:val="000000"/>
                <w:kern w:val="0"/>
                <w:sz w:val="22"/>
                <w:szCs w:val="22"/>
                <w:lang w:bidi="ar"/>
              </w:rPr>
              <w:t>0-2</w:t>
            </w:r>
          </w:p>
          <w:p w14:paraId="304DE391">
            <w:pPr>
              <w:spacing w:line="360" w:lineRule="auto"/>
              <w:jc w:val="left"/>
              <w:rPr>
                <w:rFonts w:hint="eastAsia" w:ascii="宋体" w:hAnsi="宋体" w:cs="宋体"/>
                <w:b/>
                <w:bCs/>
                <w:sz w:val="22"/>
                <w:szCs w:val="22"/>
              </w:rPr>
            </w:pPr>
          </w:p>
        </w:tc>
        <w:tc>
          <w:tcPr>
            <w:tcW w:w="5804" w:type="dxa"/>
          </w:tcPr>
          <w:p w14:paraId="61FF48CA">
            <w:pPr>
              <w:widowControl/>
              <w:jc w:val="left"/>
            </w:pPr>
            <w:r>
              <w:rPr>
                <w:rFonts w:hint="eastAsia" w:ascii="宋体" w:hAnsi="宋体" w:cs="宋体"/>
                <w:color w:val="000000"/>
                <w:kern w:val="0"/>
                <w:sz w:val="22"/>
                <w:szCs w:val="22"/>
                <w:lang w:bidi="ar"/>
              </w:rPr>
              <w:t>投标人提供公司近两年财务审计报告或报表，由评委比较后酌情打分</w:t>
            </w:r>
            <w:r>
              <w:rPr>
                <w:rFonts w:ascii="宋体" w:hAnsi="宋体" w:cs="宋体"/>
                <w:color w:val="000000"/>
                <w:kern w:val="0"/>
                <w:sz w:val="22"/>
                <w:szCs w:val="22"/>
                <w:lang w:bidi="ar"/>
              </w:rPr>
              <w:t>（0-2）</w:t>
            </w:r>
            <w:r>
              <w:rPr>
                <w:rFonts w:hint="eastAsia" w:ascii="宋体" w:hAnsi="宋体" w:cs="宋体"/>
                <w:color w:val="000000"/>
                <w:kern w:val="0"/>
                <w:sz w:val="22"/>
                <w:szCs w:val="22"/>
                <w:lang w:bidi="ar"/>
              </w:rPr>
              <w:t>。</w:t>
            </w:r>
          </w:p>
        </w:tc>
      </w:tr>
      <w:tr w14:paraId="7203F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tcPr>
          <w:p w14:paraId="04556BD6">
            <w:pPr>
              <w:spacing w:line="360" w:lineRule="auto"/>
              <w:jc w:val="center"/>
              <w:rPr>
                <w:rFonts w:hint="eastAsia" w:ascii="宋体" w:hAnsi="宋体" w:cs="宋体"/>
                <w:sz w:val="22"/>
                <w:szCs w:val="22"/>
              </w:rPr>
            </w:pPr>
          </w:p>
        </w:tc>
        <w:tc>
          <w:tcPr>
            <w:tcW w:w="1365" w:type="dxa"/>
          </w:tcPr>
          <w:p w14:paraId="5C16A856">
            <w:pPr>
              <w:widowControl/>
              <w:jc w:val="left"/>
            </w:pPr>
            <w:r>
              <w:rPr>
                <w:rFonts w:hint="eastAsia" w:ascii="宋体" w:hAnsi="宋体" w:cs="宋体"/>
                <w:color w:val="000000"/>
                <w:kern w:val="0"/>
                <w:sz w:val="22"/>
                <w:szCs w:val="22"/>
                <w:lang w:bidi="ar"/>
              </w:rPr>
              <w:t>服 务 满 意情况</w:t>
            </w:r>
          </w:p>
          <w:p w14:paraId="6C44E2E6">
            <w:pPr>
              <w:spacing w:line="360" w:lineRule="auto"/>
              <w:jc w:val="left"/>
              <w:rPr>
                <w:rFonts w:hint="eastAsia" w:ascii="宋体" w:hAnsi="宋体" w:cs="宋体"/>
                <w:sz w:val="22"/>
                <w:szCs w:val="22"/>
              </w:rPr>
            </w:pPr>
          </w:p>
        </w:tc>
        <w:tc>
          <w:tcPr>
            <w:tcW w:w="1125" w:type="dxa"/>
          </w:tcPr>
          <w:p w14:paraId="29C194D5">
            <w:pPr>
              <w:widowControl/>
              <w:jc w:val="left"/>
            </w:pPr>
            <w:r>
              <w:rPr>
                <w:rFonts w:hint="eastAsia" w:ascii="宋体" w:hAnsi="宋体" w:cs="宋体"/>
                <w:color w:val="000000"/>
                <w:kern w:val="0"/>
                <w:sz w:val="22"/>
                <w:szCs w:val="22"/>
                <w:lang w:bidi="ar"/>
              </w:rPr>
              <w:t>0-2</w:t>
            </w:r>
          </w:p>
          <w:p w14:paraId="02776BDA">
            <w:pPr>
              <w:spacing w:line="360" w:lineRule="auto"/>
              <w:jc w:val="left"/>
              <w:rPr>
                <w:rFonts w:hint="eastAsia" w:ascii="宋体" w:hAnsi="宋体" w:cs="宋体"/>
                <w:b/>
                <w:bCs/>
                <w:sz w:val="22"/>
                <w:szCs w:val="22"/>
              </w:rPr>
            </w:pPr>
          </w:p>
        </w:tc>
        <w:tc>
          <w:tcPr>
            <w:tcW w:w="5804" w:type="dxa"/>
          </w:tcPr>
          <w:p w14:paraId="22F37CB5">
            <w:pPr>
              <w:widowControl/>
              <w:jc w:val="left"/>
              <w:rPr>
                <w:rFonts w:hint="eastAsia"/>
              </w:rPr>
            </w:pPr>
            <w:r>
              <w:rPr>
                <w:rFonts w:hint="eastAsia" w:ascii="宋体" w:hAnsi="宋体" w:cs="宋体"/>
                <w:color w:val="000000"/>
                <w:kern w:val="0"/>
                <w:sz w:val="22"/>
                <w:szCs w:val="22"/>
                <w:lang w:bidi="ar"/>
              </w:rPr>
              <w:t>根据业主单位满意度回复数量及评价内容评分，需加盖业主单位公章的复印件。</w:t>
            </w:r>
            <w:r>
              <w:rPr>
                <w:rFonts w:ascii="宋体" w:hAnsi="宋体" w:cs="宋体"/>
                <w:color w:val="000000"/>
                <w:kern w:val="0"/>
                <w:sz w:val="22"/>
                <w:szCs w:val="22"/>
                <w:lang w:bidi="ar"/>
              </w:rPr>
              <w:t>每提供一个业绩满意度得0.5分，最多2分</w:t>
            </w:r>
          </w:p>
        </w:tc>
      </w:tr>
    </w:tbl>
    <w:p w14:paraId="1C498D12"/>
    <w:tbl>
      <w:tblPr>
        <w:tblStyle w:val="20"/>
        <w:tblpPr w:leftFromText="180" w:rightFromText="180" w:vertAnchor="text" w:tblpX="-1694" w:tblpY="-11118"/>
        <w:tblOverlap w:val="never"/>
        <w:tblW w:w="6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9"/>
      </w:tblGrid>
      <w:tr w14:paraId="6FD8A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669" w:type="dxa"/>
          </w:tcPr>
          <w:p w14:paraId="4CB5A71B">
            <w:pPr>
              <w:spacing w:line="360" w:lineRule="auto"/>
              <w:rPr>
                <w:rFonts w:hint="eastAsia" w:ascii="宋体" w:hAnsi="宋体" w:cs="宋体"/>
                <w:sz w:val="22"/>
                <w:szCs w:val="22"/>
              </w:rPr>
            </w:pPr>
          </w:p>
        </w:tc>
      </w:tr>
    </w:tbl>
    <w:p w14:paraId="64850734">
      <w:pPr>
        <w:spacing w:line="360" w:lineRule="auto"/>
        <w:ind w:left="420" w:leftChars="200"/>
        <w:rPr>
          <w:rFonts w:hint="eastAsia" w:ascii="宋体" w:hAnsi="宋体" w:cs="宋体"/>
          <w:sz w:val="22"/>
          <w:szCs w:val="22"/>
        </w:rPr>
      </w:pPr>
    </w:p>
    <w:sectPr>
      <w:headerReference r:id="rId7" w:type="default"/>
      <w:footerReference r:id="rId8" w:type="default"/>
      <w:pgSz w:w="11906" w:h="16838"/>
      <w:pgMar w:top="1134" w:right="1134" w:bottom="1134" w:left="1134" w:header="851" w:footer="992" w:gutter="0"/>
      <w:cols w:space="720" w:num="1"/>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楷体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Arial Unicode MS">
    <w:altName w:val="宋体"/>
    <w:panose1 w:val="020B0604020202020204"/>
    <w:charset w:val="86"/>
    <w:family w:val="swiss"/>
    <w:pitch w:val="default"/>
    <w:sig w:usb0="00000000" w:usb1="00000000" w:usb2="0000003F" w:usb3="00000000" w:csb0="603F01FF" w:csb1="FFFF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BAC700">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F4A880">
    <w:pPr>
      <w:pStyle w:val="1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8AD1DD">
    <w:pPr>
      <w:pStyle w:val="14"/>
      <w:wordWrap w:val="0"/>
      <w:rPr>
        <w:rFonts w:hint="eastAsia" w:ascii="宋体" w:hAnsi="宋体"/>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C7DE80">
    <w:pPr>
      <w:pStyle w:val="14"/>
      <w:pBdr>
        <w:bottom w:val="single" w:color="auto" w:sz="6" w:space="0"/>
      </w:pBdr>
      <w:wordWrap w:val="0"/>
      <w:jc w:val="right"/>
      <w:rPr>
        <w:rFonts w:hint="eastAsia" w:ascii="宋体" w:hAnsi="宋体"/>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6D1D39"/>
    <w:multiLevelType w:val="singleLevel"/>
    <w:tmpl w:val="C26D1D39"/>
    <w:lvl w:ilvl="0" w:tentative="0">
      <w:start w:val="1"/>
      <w:numFmt w:val="bullet"/>
      <w:pStyle w:val="10"/>
      <w:lvlText w:val=""/>
      <w:lvlJc w:val="left"/>
      <w:pPr>
        <w:tabs>
          <w:tab w:val="left" w:pos="780"/>
        </w:tabs>
        <w:ind w:left="780" w:hanging="360"/>
      </w:pPr>
      <w:rPr>
        <w:rFonts w:hint="default" w:ascii="Wingdings" w:hAnsi="Wingdings"/>
      </w:rPr>
    </w:lvl>
  </w:abstractNum>
  <w:abstractNum w:abstractNumId="1">
    <w:nsid w:val="5C8E3493"/>
    <w:multiLevelType w:val="singleLevel"/>
    <w:tmpl w:val="5C8E3493"/>
    <w:lvl w:ilvl="0" w:tentative="0">
      <w:start w:val="1"/>
      <w:numFmt w:val="decimal"/>
      <w:lvlText w:val="(%1)"/>
      <w:lvlJc w:val="left"/>
      <w:pPr>
        <w:ind w:left="425" w:hanging="425"/>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g3YzZjMWUwNTMwNTYwMmI2YjViYjIzYjk5OTMxNWEifQ=="/>
  </w:docVars>
  <w:rsids>
    <w:rsidRoot w:val="004628FB"/>
    <w:rsid w:val="00003E3A"/>
    <w:rsid w:val="0008388B"/>
    <w:rsid w:val="000A242B"/>
    <w:rsid w:val="000F3583"/>
    <w:rsid w:val="004628FB"/>
    <w:rsid w:val="006E5B7D"/>
    <w:rsid w:val="00726F86"/>
    <w:rsid w:val="00826394"/>
    <w:rsid w:val="0095282B"/>
    <w:rsid w:val="00A85C3E"/>
    <w:rsid w:val="00B1012C"/>
    <w:rsid w:val="00B41C84"/>
    <w:rsid w:val="00B4508C"/>
    <w:rsid w:val="00D9518B"/>
    <w:rsid w:val="045A77D7"/>
    <w:rsid w:val="04675A74"/>
    <w:rsid w:val="04972E02"/>
    <w:rsid w:val="05082D47"/>
    <w:rsid w:val="057D3131"/>
    <w:rsid w:val="079052BE"/>
    <w:rsid w:val="084F1D04"/>
    <w:rsid w:val="0A1330C8"/>
    <w:rsid w:val="0BA648D7"/>
    <w:rsid w:val="0E4D2411"/>
    <w:rsid w:val="0E630E21"/>
    <w:rsid w:val="0E807E3A"/>
    <w:rsid w:val="0EBE6BB4"/>
    <w:rsid w:val="0EF011EB"/>
    <w:rsid w:val="0FF56606"/>
    <w:rsid w:val="0FFD54BA"/>
    <w:rsid w:val="102C3500"/>
    <w:rsid w:val="12E56E05"/>
    <w:rsid w:val="13E7436D"/>
    <w:rsid w:val="14BF29AF"/>
    <w:rsid w:val="15D71203"/>
    <w:rsid w:val="160C3F81"/>
    <w:rsid w:val="17233A58"/>
    <w:rsid w:val="18423839"/>
    <w:rsid w:val="1A253F8B"/>
    <w:rsid w:val="1AF124EF"/>
    <w:rsid w:val="1BA63A18"/>
    <w:rsid w:val="1C0F4EF3"/>
    <w:rsid w:val="1D034924"/>
    <w:rsid w:val="1E0E7B17"/>
    <w:rsid w:val="1EE77C7B"/>
    <w:rsid w:val="1EF51103"/>
    <w:rsid w:val="1F444EB4"/>
    <w:rsid w:val="1F965BF6"/>
    <w:rsid w:val="2043454C"/>
    <w:rsid w:val="22487C01"/>
    <w:rsid w:val="22F37B3A"/>
    <w:rsid w:val="246F4781"/>
    <w:rsid w:val="24C90B86"/>
    <w:rsid w:val="24FD1D8D"/>
    <w:rsid w:val="25B85CB3"/>
    <w:rsid w:val="263C68C0"/>
    <w:rsid w:val="2790513A"/>
    <w:rsid w:val="27C46B92"/>
    <w:rsid w:val="28E11C7D"/>
    <w:rsid w:val="295E6B72"/>
    <w:rsid w:val="2D0855E2"/>
    <w:rsid w:val="2D624F61"/>
    <w:rsid w:val="2DF16206"/>
    <w:rsid w:val="310E5321"/>
    <w:rsid w:val="31943525"/>
    <w:rsid w:val="31DD644C"/>
    <w:rsid w:val="32A75BB3"/>
    <w:rsid w:val="32AA66E4"/>
    <w:rsid w:val="35D72186"/>
    <w:rsid w:val="363D008E"/>
    <w:rsid w:val="367D4733"/>
    <w:rsid w:val="368220F2"/>
    <w:rsid w:val="37256F21"/>
    <w:rsid w:val="38FC3B57"/>
    <w:rsid w:val="39DA3228"/>
    <w:rsid w:val="3AC76C6D"/>
    <w:rsid w:val="3B1E43B3"/>
    <w:rsid w:val="3B463B04"/>
    <w:rsid w:val="3DBB1BA6"/>
    <w:rsid w:val="3E2151AA"/>
    <w:rsid w:val="3EFE0783"/>
    <w:rsid w:val="3F2E1142"/>
    <w:rsid w:val="44097A52"/>
    <w:rsid w:val="46441D9E"/>
    <w:rsid w:val="46717382"/>
    <w:rsid w:val="46843096"/>
    <w:rsid w:val="48B8308E"/>
    <w:rsid w:val="491E1EB4"/>
    <w:rsid w:val="4A19661E"/>
    <w:rsid w:val="4AD67162"/>
    <w:rsid w:val="4B931B59"/>
    <w:rsid w:val="4C231829"/>
    <w:rsid w:val="4C52788C"/>
    <w:rsid w:val="4E3A10AC"/>
    <w:rsid w:val="4F0231B8"/>
    <w:rsid w:val="500100D3"/>
    <w:rsid w:val="508D7BB9"/>
    <w:rsid w:val="51121E6C"/>
    <w:rsid w:val="51210E9E"/>
    <w:rsid w:val="546D7B31"/>
    <w:rsid w:val="55052414"/>
    <w:rsid w:val="55964CF9"/>
    <w:rsid w:val="55A612E3"/>
    <w:rsid w:val="55F068A6"/>
    <w:rsid w:val="57CD4D3F"/>
    <w:rsid w:val="5B6836FC"/>
    <w:rsid w:val="5CA9696B"/>
    <w:rsid w:val="5F6146EB"/>
    <w:rsid w:val="5FD469AA"/>
    <w:rsid w:val="604A1623"/>
    <w:rsid w:val="60A725D1"/>
    <w:rsid w:val="61732FB8"/>
    <w:rsid w:val="61C22FE9"/>
    <w:rsid w:val="65CD0A45"/>
    <w:rsid w:val="692A2A07"/>
    <w:rsid w:val="6A7C7AB6"/>
    <w:rsid w:val="6C6750C1"/>
    <w:rsid w:val="6C961332"/>
    <w:rsid w:val="6CB5711C"/>
    <w:rsid w:val="6DFA48F9"/>
    <w:rsid w:val="6F820674"/>
    <w:rsid w:val="6FBE3493"/>
    <w:rsid w:val="6FFF7A25"/>
    <w:rsid w:val="71BC1C54"/>
    <w:rsid w:val="71CD79BE"/>
    <w:rsid w:val="74424693"/>
    <w:rsid w:val="7473539A"/>
    <w:rsid w:val="758807CB"/>
    <w:rsid w:val="75C21F1B"/>
    <w:rsid w:val="77334767"/>
    <w:rsid w:val="773977DA"/>
    <w:rsid w:val="77BF249E"/>
    <w:rsid w:val="792067C5"/>
    <w:rsid w:val="79A17BCB"/>
    <w:rsid w:val="7A4153ED"/>
    <w:rsid w:val="7A6510DB"/>
    <w:rsid w:val="7BD60097"/>
    <w:rsid w:val="7C4E0BFD"/>
    <w:rsid w:val="7D512BF5"/>
    <w:rsid w:val="7DA912DF"/>
    <w:rsid w:val="7DBA2CF3"/>
    <w:rsid w:val="7FE8315F"/>
    <w:rsid w:val="7FFBF8C3"/>
    <w:rsid w:val="8AFF5EE7"/>
    <w:rsid w:val="A4DF1B7D"/>
    <w:rsid w:val="BFEA98D9"/>
    <w:rsid w:val="DFEFF744"/>
    <w:rsid w:val="E7FDBF67"/>
    <w:rsid w:val="ED774A87"/>
    <w:rsid w:val="EFFF7805"/>
    <w:rsid w:val="F52738B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qFormat="1"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qFormat="1"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21">
    <w:name w:val="Default Paragraph Font"/>
    <w:semiHidden/>
    <w:unhideWhenUsed/>
    <w:uiPriority w:val="1"/>
  </w:style>
  <w:style w:type="table" w:default="1" w:styleId="19">
    <w:name w:val="Normal Table"/>
    <w:semiHidden/>
    <w:unhideWhenUsed/>
    <w:uiPriority w:val="99"/>
    <w:tblPr>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5">
    <w:name w:val="annotation text"/>
    <w:basedOn w:val="1"/>
    <w:qFormat/>
    <w:uiPriority w:val="0"/>
    <w:pPr>
      <w:jc w:val="left"/>
    </w:pPr>
  </w:style>
  <w:style w:type="paragraph" w:styleId="6">
    <w:name w:val="Body Text"/>
    <w:basedOn w:val="1"/>
    <w:next w:val="7"/>
    <w:qFormat/>
    <w:uiPriority w:val="0"/>
    <w:pPr>
      <w:jc w:val="center"/>
    </w:pPr>
    <w:rPr>
      <w:sz w:val="28"/>
    </w:rPr>
  </w:style>
  <w:style w:type="paragraph" w:styleId="7">
    <w:name w:val="Body Text First Indent"/>
    <w:basedOn w:val="6"/>
    <w:next w:val="8"/>
    <w:qFormat/>
    <w:uiPriority w:val="0"/>
    <w:pPr>
      <w:spacing w:after="120"/>
      <w:ind w:firstLine="420"/>
      <w:jc w:val="both"/>
    </w:pPr>
    <w:rPr>
      <w:sz w:val="21"/>
    </w:rPr>
  </w:style>
  <w:style w:type="paragraph" w:styleId="8">
    <w:name w:val="toc 6"/>
    <w:basedOn w:val="1"/>
    <w:next w:val="1"/>
    <w:qFormat/>
    <w:uiPriority w:val="0"/>
    <w:pPr>
      <w:ind w:left="2100" w:leftChars="1000"/>
    </w:pPr>
    <w:rPr>
      <w:szCs w:val="22"/>
    </w:rPr>
  </w:style>
  <w:style w:type="paragraph" w:styleId="9">
    <w:name w:val="Body Text Indent"/>
    <w:basedOn w:val="1"/>
    <w:qFormat/>
    <w:uiPriority w:val="0"/>
    <w:pPr>
      <w:ind w:firstLine="540"/>
    </w:pPr>
    <w:rPr>
      <w:rFonts w:ascii="宋体"/>
      <w:sz w:val="28"/>
    </w:rPr>
  </w:style>
  <w:style w:type="paragraph" w:styleId="10">
    <w:name w:val="List Bullet 2"/>
    <w:basedOn w:val="1"/>
    <w:qFormat/>
    <w:uiPriority w:val="0"/>
    <w:pPr>
      <w:numPr>
        <w:ilvl w:val="0"/>
        <w:numId w:val="1"/>
      </w:numPr>
    </w:pPr>
  </w:style>
  <w:style w:type="paragraph" w:styleId="11">
    <w:name w:val="Plain Text"/>
    <w:basedOn w:val="1"/>
    <w:qFormat/>
    <w:uiPriority w:val="0"/>
    <w:rPr>
      <w:rFonts w:ascii="宋体" w:hAnsi="Courier New"/>
    </w:rPr>
  </w:style>
  <w:style w:type="paragraph" w:styleId="12">
    <w:name w:val="Date"/>
    <w:basedOn w:val="1"/>
    <w:next w:val="1"/>
    <w:qFormat/>
    <w:uiPriority w:val="0"/>
  </w:style>
  <w:style w:type="paragraph" w:styleId="13">
    <w:name w:val="footer"/>
    <w:basedOn w:val="1"/>
    <w:qFormat/>
    <w:uiPriority w:val="0"/>
    <w:pPr>
      <w:tabs>
        <w:tab w:val="center" w:pos="4153"/>
        <w:tab w:val="right" w:pos="8306"/>
      </w:tabs>
      <w:snapToGrid w:val="0"/>
      <w:jc w:val="left"/>
    </w:pPr>
    <w:rPr>
      <w:sz w:val="18"/>
    </w:rPr>
  </w:style>
  <w:style w:type="paragraph" w:styleId="14">
    <w:name w:val="header"/>
    <w:basedOn w:val="1"/>
    <w:qFormat/>
    <w:uiPriority w:val="0"/>
    <w:pPr>
      <w:pBdr>
        <w:bottom w:val="single" w:color="auto" w:sz="6" w:space="1"/>
      </w:pBdr>
      <w:tabs>
        <w:tab w:val="center" w:pos="4153"/>
        <w:tab w:val="right" w:pos="8306"/>
      </w:tabs>
      <w:snapToGrid w:val="0"/>
      <w:jc w:val="center"/>
    </w:pPr>
    <w:rPr>
      <w:sz w:val="18"/>
    </w:rPr>
  </w:style>
  <w:style w:type="paragraph" w:styleId="15">
    <w:name w:val="toc 1"/>
    <w:basedOn w:val="1"/>
    <w:next w:val="1"/>
    <w:qFormat/>
    <w:uiPriority w:val="39"/>
    <w:pPr>
      <w:tabs>
        <w:tab w:val="right" w:leader="dot" w:pos="9629"/>
      </w:tabs>
      <w:spacing w:before="120" w:after="120" w:line="480" w:lineRule="auto"/>
      <w:jc w:val="left"/>
    </w:pPr>
    <w:rPr>
      <w:rFonts w:eastAsia="楷体_GB2312"/>
      <w:b/>
      <w:bCs/>
      <w:caps/>
      <w:sz w:val="20"/>
    </w:rPr>
  </w:style>
  <w:style w:type="paragraph" w:styleId="16">
    <w:name w:val="toc 2"/>
    <w:basedOn w:val="1"/>
    <w:next w:val="1"/>
    <w:qFormat/>
    <w:uiPriority w:val="39"/>
    <w:pPr>
      <w:ind w:left="210"/>
      <w:jc w:val="left"/>
    </w:pPr>
    <w:rPr>
      <w:smallCaps/>
      <w:sz w:val="20"/>
    </w:rPr>
  </w:style>
  <w:style w:type="paragraph" w:styleId="1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18">
    <w:name w:val="Body Text First Indent 2"/>
    <w:basedOn w:val="9"/>
    <w:next w:val="7"/>
    <w:qFormat/>
    <w:uiPriority w:val="0"/>
    <w:pPr>
      <w:spacing w:after="120"/>
      <w:ind w:left="420" w:firstLine="420"/>
    </w:pPr>
    <w:rPr>
      <w:rFonts w:ascii="Times New Roman"/>
      <w:sz w:val="21"/>
    </w:r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page number"/>
    <w:basedOn w:val="21"/>
    <w:qFormat/>
    <w:uiPriority w:val="0"/>
  </w:style>
  <w:style w:type="paragraph" w:customStyle="1" w:styleId="23">
    <w:name w:val="正文段"/>
    <w:basedOn w:val="1"/>
    <w:qFormat/>
    <w:uiPriority w:val="0"/>
    <w:pPr>
      <w:widowControl/>
      <w:snapToGrid w:val="0"/>
      <w:spacing w:after="50" w:afterLines="50"/>
      <w:ind w:firstLine="200" w:firstLineChars="200"/>
    </w:pPr>
    <w:rPr>
      <w:kern w:val="0"/>
      <w:sz w:val="24"/>
    </w:rPr>
  </w:style>
  <w:style w:type="character" w:customStyle="1" w:styleId="24">
    <w:name w:val="font161"/>
    <w:basedOn w:val="21"/>
    <w:qFormat/>
    <w:uiPriority w:val="0"/>
    <w:rPr>
      <w:rFonts w:ascii="Calibri" w:hAnsi="Calibri" w:cs="Calibri"/>
      <w:b/>
      <w:bCs/>
      <w:color w:val="000000"/>
      <w:sz w:val="20"/>
      <w:szCs w:val="20"/>
      <w:u w:val="none"/>
    </w:rPr>
  </w:style>
  <w:style w:type="paragraph" w:customStyle="1" w:styleId="25">
    <w:name w:val="简单回函地址"/>
    <w:basedOn w:val="1"/>
    <w:qFormat/>
    <w:uiPriority w:val="0"/>
  </w:style>
  <w:style w:type="paragraph" w:customStyle="1" w:styleId="26">
    <w:name w:val="正文文字2"/>
    <w:basedOn w:val="6"/>
    <w:qFormat/>
    <w:uiPriority w:val="0"/>
    <w:pPr>
      <w:adjustRightInd w:val="0"/>
      <w:spacing w:after="60" w:line="360" w:lineRule="atLeast"/>
      <w:ind w:left="72" w:leftChars="30" w:right="72" w:rightChars="30"/>
    </w:pPr>
    <w:rPr>
      <w:rFonts w:ascii="Arial" w:eastAsia="黑体"/>
      <w:kern w:val="0"/>
      <w:sz w:val="21"/>
    </w:rPr>
  </w:style>
  <w:style w:type="paragraph" w:styleId="27">
    <w:name w:val="List Paragraph"/>
    <w:basedOn w:val="1"/>
    <w:qFormat/>
    <w:uiPriority w:val="99"/>
    <w:pPr>
      <w:spacing w:before="124"/>
      <w:ind w:left="117" w:hanging="423"/>
    </w:pPr>
  </w:style>
  <w:style w:type="character" w:customStyle="1" w:styleId="28">
    <w:name w:val="章正文 Char"/>
    <w:link w:val="29"/>
    <w:qFormat/>
    <w:uiPriority w:val="99"/>
    <w:rPr>
      <w:rFonts w:ascii="Helvetica" w:hAnsi="Helvetica"/>
      <w:kern w:val="0"/>
      <w:szCs w:val="24"/>
    </w:rPr>
  </w:style>
  <w:style w:type="paragraph" w:customStyle="1" w:styleId="29">
    <w:name w:val="章正文"/>
    <w:basedOn w:val="1"/>
    <w:link w:val="28"/>
    <w:qFormat/>
    <w:locked/>
    <w:uiPriority w:val="99"/>
    <w:pPr>
      <w:spacing w:beforeLines="50" w:after="120" w:line="300" w:lineRule="auto"/>
      <w:ind w:firstLine="480"/>
    </w:pPr>
    <w:rPr>
      <w:rFonts w:ascii="Helvetica" w:hAnsi="Helvetica"/>
      <w:kern w:val="0"/>
      <w:szCs w:val="24"/>
    </w:rPr>
  </w:style>
  <w:style w:type="paragraph" w:customStyle="1" w:styleId="30">
    <w:name w:val="Table Text"/>
    <w:basedOn w:val="1"/>
    <w:semiHidden/>
    <w:qFormat/>
    <w:uiPriority w:val="0"/>
    <w:rPr>
      <w:rFonts w:ascii="宋体" w:hAnsi="宋体" w:cs="宋体"/>
      <w:sz w:val="25"/>
      <w:szCs w:val="25"/>
      <w:lang w:eastAsia="en-US"/>
    </w:rPr>
  </w:style>
  <w:style w:type="table" w:customStyle="1" w:styleId="31">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3456</Words>
  <Characters>3671</Characters>
  <Lines>29</Lines>
  <Paragraphs>8</Paragraphs>
  <TotalTime>4</TotalTime>
  <ScaleCrop>false</ScaleCrop>
  <LinksUpToDate>false</LinksUpToDate>
  <CharactersWithSpaces>3841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2025-03-27T09:02:00Z</dcterms:created>
  <dc:creator>Administrator</dc:creator>
  <cp:lastModifiedBy>翔子</cp:lastModifiedBy>
  <cp:lastPrinted>2025-03-27T15:53:00Z</cp:lastPrinted>
  <dcterms:modified xsi:type="dcterms:W3CDTF">2025-03-27T09:06:09Z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ED9F80F062724FF385A50333E9D73543_13</vt:lpwstr>
  </property>
  <property fmtid="{D5CDD505-2E9C-101B-9397-08002B2CF9AE}" pid="4" name="KSOTemplateDocerSaveRecord">
    <vt:lpwstr>eyJoZGlkIjoiZDY5YzViNDBhMzFlODA5MzFlYjYzMzcxODdhNjBhZDUiLCJ1c2VySWQiOiIyMDc0ODU3MTUifQ==</vt:lpwstr>
  </property>
</Properties>
</file>