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88" w:lineRule="auto"/>
        <w:jc w:val="center"/>
        <w:outlineLvl w:val="0"/>
        <w:rPr>
          <w:rFonts w:ascii="宋体" w:hAnsi="宋体" w:eastAsia="宋体" w:cs="Times New Roman"/>
          <w:b w:val="0"/>
          <w:bCs/>
          <w:spacing w:val="-6"/>
          <w:sz w:val="44"/>
          <w:szCs w:val="44"/>
        </w:rPr>
      </w:pPr>
      <w:r>
        <w:rPr>
          <w:rFonts w:hint="eastAsia" w:ascii="宋体" w:hAnsi="宋体" w:eastAsia="宋体" w:cs="Times New Roman"/>
          <w:b w:val="0"/>
          <w:bCs/>
          <w:sz w:val="44"/>
          <w:szCs w:val="44"/>
        </w:rPr>
        <w:t>评标方法及评标标准</w:t>
      </w:r>
    </w:p>
    <w:p>
      <w:pPr>
        <w:adjustRightInd w:val="0"/>
        <w:snapToGrid w:val="0"/>
        <w:spacing w:line="288" w:lineRule="auto"/>
        <w:outlineLvl w:val="1"/>
        <w:rPr>
          <w:rFonts w:hint="eastAsia" w:ascii="黑体" w:hAnsi="黑体" w:eastAsia="黑体" w:cs="黑体"/>
          <w:b w:val="0"/>
          <w:bCs/>
          <w:spacing w:val="-6"/>
          <w:sz w:val="28"/>
          <w:szCs w:val="28"/>
        </w:rPr>
      </w:pPr>
      <w:r>
        <w:rPr>
          <w:rFonts w:hint="eastAsia" w:ascii="黑体" w:hAnsi="黑体" w:eastAsia="黑体" w:cs="黑体"/>
          <w:b w:val="0"/>
          <w:bCs/>
          <w:spacing w:val="-6"/>
          <w:sz w:val="28"/>
          <w:szCs w:val="28"/>
        </w:rPr>
        <w:t>一、评标方法</w:t>
      </w:r>
    </w:p>
    <w:p>
      <w:pPr>
        <w:adjustRightInd w:val="0"/>
        <w:snapToGrid w:val="0"/>
        <w:spacing w:line="288" w:lineRule="auto"/>
        <w:ind w:firstLine="456" w:firstLineChars="200"/>
        <w:rPr>
          <w:rFonts w:hint="eastAsia" w:ascii="仿宋_GB2312" w:hAnsi="仿宋_GB2312" w:eastAsia="仿宋_GB2312" w:cs="仿宋_GB2312"/>
          <w:bCs/>
          <w:color w:val="auto"/>
          <w:spacing w:val="-6"/>
          <w:sz w:val="24"/>
          <w:szCs w:val="24"/>
        </w:rPr>
      </w:pPr>
      <w:r>
        <w:rPr>
          <w:rFonts w:hint="eastAsia" w:ascii="仿宋_GB2312" w:hAnsi="仿宋_GB2312" w:eastAsia="仿宋_GB2312" w:cs="仿宋_GB2312"/>
          <w:bCs/>
          <w:color w:val="auto"/>
          <w:spacing w:val="-6"/>
          <w:sz w:val="24"/>
          <w:szCs w:val="24"/>
        </w:rPr>
        <w:t>本次评标采用综合评分法，总分为100分。评分过程中采用四舍五入法，并保留小数2位。</w:t>
      </w:r>
    </w:p>
    <w:p>
      <w:pPr>
        <w:adjustRightInd w:val="0"/>
        <w:snapToGrid w:val="0"/>
        <w:spacing w:line="288" w:lineRule="auto"/>
        <w:ind w:firstLine="456" w:firstLineChars="200"/>
        <w:rPr>
          <w:rFonts w:hint="eastAsia" w:ascii="仿宋_GB2312" w:hAnsi="仿宋_GB2312" w:eastAsia="仿宋_GB2312" w:cs="仿宋_GB2312"/>
          <w:bCs/>
          <w:color w:val="auto"/>
          <w:spacing w:val="-6"/>
          <w:sz w:val="24"/>
          <w:szCs w:val="24"/>
        </w:rPr>
      </w:pPr>
      <w:r>
        <w:rPr>
          <w:rFonts w:hint="eastAsia" w:ascii="仿宋_GB2312" w:hAnsi="仿宋_GB2312" w:eastAsia="仿宋_GB2312" w:cs="仿宋_GB2312"/>
          <w:color w:val="auto"/>
          <w:spacing w:val="-6"/>
          <w:sz w:val="24"/>
          <w:szCs w:val="24"/>
        </w:rPr>
        <w:t>投标人评标</w:t>
      </w:r>
      <w:r>
        <w:rPr>
          <w:rFonts w:hint="eastAsia" w:ascii="仿宋_GB2312" w:hAnsi="仿宋_GB2312" w:eastAsia="仿宋_GB2312" w:cs="仿宋_GB2312"/>
          <w:bCs/>
          <w:color w:val="auto"/>
          <w:spacing w:val="-6"/>
          <w:sz w:val="24"/>
          <w:szCs w:val="24"/>
        </w:rPr>
        <w:t>综合得分</w:t>
      </w:r>
      <w:r>
        <w:rPr>
          <w:rFonts w:hint="eastAsia" w:ascii="仿宋_GB2312" w:hAnsi="仿宋_GB2312" w:eastAsia="仿宋_GB2312" w:cs="仿宋_GB2312"/>
          <w:bCs/>
          <w:color w:val="auto"/>
          <w:spacing w:val="-6"/>
          <w:sz w:val="24"/>
          <w:szCs w:val="24"/>
          <w:lang w:val="en-US" w:eastAsia="zh-CN"/>
        </w:rPr>
        <w:t>=</w:t>
      </w:r>
      <w:r>
        <w:rPr>
          <w:rFonts w:hint="eastAsia" w:ascii="仿宋_GB2312" w:hAnsi="仿宋_GB2312" w:eastAsia="仿宋_GB2312" w:cs="仿宋_GB2312"/>
          <w:bCs/>
          <w:color w:val="auto"/>
          <w:spacing w:val="-6"/>
          <w:sz w:val="24"/>
          <w:szCs w:val="24"/>
        </w:rPr>
        <w:t>商务分+技术分+价格分</w:t>
      </w:r>
    </w:p>
    <w:p>
      <w:pPr>
        <w:adjustRightInd w:val="0"/>
        <w:snapToGrid w:val="0"/>
        <w:spacing w:line="288" w:lineRule="auto"/>
        <w:ind w:firstLine="456" w:firstLineChars="200"/>
        <w:rPr>
          <w:rFonts w:hint="eastAsia" w:ascii="Times New Roman" w:hAnsi="Times New Roman" w:eastAsia="仿宋_GB2312" w:cs="仿宋_GB2312"/>
          <w:color w:val="auto"/>
          <w:spacing w:val="-6"/>
          <w:sz w:val="24"/>
          <w:szCs w:val="24"/>
        </w:rPr>
      </w:pPr>
      <w:r>
        <w:rPr>
          <w:rFonts w:hint="eastAsia" w:ascii="仿宋_GB2312" w:hAnsi="仿宋_GB2312" w:eastAsia="仿宋_GB2312" w:cs="仿宋_GB2312"/>
          <w:bCs/>
          <w:color w:val="auto"/>
          <w:spacing w:val="-6"/>
          <w:sz w:val="24"/>
          <w:szCs w:val="24"/>
        </w:rPr>
        <w:t>商务和技术分按照评标委员会成员的独立评分结果的算术平均分计算，计算公式为：商务分、技术分=评标委员会所有成员评分合计数/评标委员会组成人员数</w:t>
      </w:r>
    </w:p>
    <w:p>
      <w:pPr>
        <w:adjustRightInd w:val="0"/>
        <w:snapToGrid w:val="0"/>
        <w:spacing w:line="288" w:lineRule="auto"/>
        <w:outlineLvl w:val="1"/>
        <w:rPr>
          <w:rFonts w:hint="eastAsia" w:ascii="黑体" w:hAnsi="黑体" w:eastAsia="黑体" w:cs="黑体"/>
          <w:b w:val="0"/>
          <w:bCs/>
          <w:spacing w:val="-6"/>
          <w:sz w:val="28"/>
          <w:szCs w:val="28"/>
        </w:rPr>
      </w:pPr>
      <w:r>
        <w:rPr>
          <w:rFonts w:hint="eastAsia" w:ascii="黑体" w:hAnsi="黑体" w:eastAsia="黑体" w:cs="黑体"/>
          <w:b w:val="0"/>
          <w:bCs/>
          <w:spacing w:val="-6"/>
          <w:sz w:val="28"/>
          <w:szCs w:val="28"/>
        </w:rPr>
        <w:t>二、评标标准</w:t>
      </w:r>
    </w:p>
    <w:tbl>
      <w:tblPr>
        <w:tblStyle w:val="2"/>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654"/>
        <w:gridCol w:w="7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767" w:type="dxa"/>
            <w:vAlign w:val="center"/>
          </w:tcPr>
          <w:p>
            <w:pPr>
              <w:adjustRightInd w:val="0"/>
              <w:snapToGrid w:val="0"/>
              <w:spacing w:line="288" w:lineRule="auto"/>
              <w:jc w:val="center"/>
              <w:rPr>
                <w:rFonts w:ascii="宋体" w:hAnsi="宋体" w:eastAsia="宋体" w:cs="Times New Roman"/>
                <w:b/>
                <w:bCs/>
                <w:szCs w:val="21"/>
              </w:rPr>
            </w:pPr>
            <w:r>
              <w:rPr>
                <w:rFonts w:hint="eastAsia" w:ascii="宋体" w:hAnsi="宋体" w:eastAsia="宋体" w:cs="Times New Roman"/>
                <w:b/>
                <w:bCs/>
                <w:szCs w:val="21"/>
              </w:rPr>
              <w:t>评审因素</w:t>
            </w:r>
          </w:p>
        </w:tc>
        <w:tc>
          <w:tcPr>
            <w:tcW w:w="654" w:type="dxa"/>
            <w:vAlign w:val="center"/>
          </w:tcPr>
          <w:p>
            <w:pPr>
              <w:adjustRightInd w:val="0"/>
              <w:snapToGrid w:val="0"/>
              <w:spacing w:line="288" w:lineRule="auto"/>
              <w:jc w:val="center"/>
              <w:rPr>
                <w:rFonts w:ascii="宋体" w:hAnsi="宋体" w:eastAsia="宋体" w:cs="Times New Roman"/>
                <w:b/>
                <w:bCs/>
                <w:szCs w:val="21"/>
              </w:rPr>
            </w:pPr>
            <w:r>
              <w:rPr>
                <w:rFonts w:hint="eastAsia" w:ascii="宋体" w:hAnsi="宋体" w:eastAsia="宋体" w:cs="Times New Roman"/>
                <w:b/>
                <w:bCs/>
                <w:szCs w:val="21"/>
              </w:rPr>
              <w:t>分值</w:t>
            </w:r>
          </w:p>
        </w:tc>
        <w:tc>
          <w:tcPr>
            <w:tcW w:w="7072" w:type="dxa"/>
            <w:vAlign w:val="center"/>
          </w:tcPr>
          <w:p>
            <w:pPr>
              <w:adjustRightInd w:val="0"/>
              <w:snapToGrid w:val="0"/>
              <w:spacing w:line="288" w:lineRule="auto"/>
              <w:jc w:val="center"/>
              <w:rPr>
                <w:rFonts w:ascii="宋体" w:hAnsi="宋体" w:eastAsia="宋体" w:cs="Times New Roman"/>
                <w:b/>
                <w:bCs/>
                <w:szCs w:val="21"/>
              </w:rPr>
            </w:pPr>
            <w:r>
              <w:rPr>
                <w:rFonts w:ascii="宋体" w:hAnsi="宋体" w:eastAsia="宋体" w:cs="Times New Roman"/>
                <w:b/>
                <w:bCs/>
                <w:szCs w:val="21"/>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93" w:type="dxa"/>
            <w:gridSpan w:val="3"/>
            <w:vAlign w:val="center"/>
          </w:tcPr>
          <w:p>
            <w:pPr>
              <w:adjustRightInd w:val="0"/>
              <w:snapToGrid w:val="0"/>
              <w:spacing w:line="288" w:lineRule="auto"/>
              <w:jc w:val="left"/>
              <w:rPr>
                <w:rFonts w:ascii="宋体" w:hAnsi="宋体" w:eastAsia="宋体" w:cs="Times New Roman"/>
                <w:b/>
                <w:bCs/>
                <w:szCs w:val="21"/>
              </w:rPr>
            </w:pPr>
            <w:r>
              <w:rPr>
                <w:rFonts w:ascii="宋体" w:hAnsi="宋体" w:eastAsia="宋体" w:cs="Times New Roman"/>
                <w:b/>
                <w:bCs/>
                <w:szCs w:val="21"/>
              </w:rPr>
              <w:t>价格</w:t>
            </w:r>
            <w:r>
              <w:rPr>
                <w:rFonts w:hint="eastAsia" w:ascii="宋体" w:hAnsi="宋体" w:eastAsia="宋体" w:cs="Times New Roman"/>
                <w:b/>
                <w:bCs/>
                <w:szCs w:val="21"/>
              </w:rPr>
              <w:t>分（1</w:t>
            </w:r>
            <w:r>
              <w:rPr>
                <w:rFonts w:ascii="宋体" w:hAnsi="宋体" w:eastAsia="宋体" w:cs="Times New Roman"/>
                <w:b/>
                <w:bCs/>
                <w:szCs w:val="21"/>
              </w:rPr>
              <w:t>0</w:t>
            </w:r>
            <w:r>
              <w:rPr>
                <w:rFonts w:hint="eastAsia" w:ascii="宋体" w:hAnsi="宋体" w:eastAsia="宋体" w:cs="Times New Roman"/>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ascii="宋体" w:hAnsi="宋体" w:eastAsia="宋体" w:cs="宋体"/>
                <w:b/>
                <w:bCs/>
                <w:szCs w:val="21"/>
              </w:rPr>
            </w:pPr>
            <w:r>
              <w:rPr>
                <w:rFonts w:hint="eastAsia" w:ascii="宋体" w:hAnsi="宋体" w:eastAsia="宋体" w:cs="宋体"/>
                <w:b/>
                <w:bCs/>
                <w:szCs w:val="21"/>
              </w:rPr>
              <w:t>投标报价</w:t>
            </w:r>
          </w:p>
        </w:tc>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ascii="宋体" w:hAnsi="宋体" w:eastAsia="宋体" w:cs="宋体"/>
                <w:b/>
                <w:bCs/>
                <w:szCs w:val="21"/>
              </w:rPr>
            </w:pPr>
            <w:r>
              <w:rPr>
                <w:rFonts w:hint="eastAsia" w:ascii="宋体" w:hAnsi="宋体" w:eastAsia="宋体" w:cs="宋体"/>
                <w:b/>
                <w:bCs/>
                <w:szCs w:val="21"/>
              </w:rPr>
              <w:t>10</w:t>
            </w:r>
          </w:p>
        </w:tc>
        <w:tc>
          <w:tcPr>
            <w:tcW w:w="70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rPr>
                <w:rFonts w:ascii="宋体" w:hAnsi="宋体" w:eastAsia="宋体" w:cs="宋体"/>
                <w:szCs w:val="21"/>
              </w:rPr>
            </w:pPr>
            <w:r>
              <w:rPr>
                <w:rFonts w:hint="eastAsia" w:ascii="宋体" w:hAnsi="宋体" w:eastAsia="宋体" w:cs="宋体"/>
                <w:szCs w:val="21"/>
              </w:rPr>
              <w:t>价格分采用低价优先法计算，即满足招标文件要求且投标价格最低的投标报价为评标基准价，其他投标人的价格分按照下列公式计算：</w:t>
            </w:r>
          </w:p>
          <w:p>
            <w:pPr>
              <w:adjustRightInd w:val="0"/>
              <w:snapToGrid w:val="0"/>
              <w:spacing w:line="288" w:lineRule="auto"/>
              <w:rPr>
                <w:rFonts w:ascii="宋体" w:hAnsi="宋体" w:eastAsia="宋体" w:cs="宋体"/>
                <w:szCs w:val="21"/>
              </w:rPr>
            </w:pPr>
            <w:r>
              <w:rPr>
                <w:rFonts w:hint="eastAsia" w:ascii="宋体" w:hAnsi="宋体" w:eastAsia="宋体" w:cs="宋体"/>
                <w:szCs w:val="21"/>
              </w:rPr>
              <w:t>价格分=（评标基准价/投标报价）×10%×100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93" w:type="dxa"/>
            <w:gridSpan w:val="3"/>
            <w:vAlign w:val="center"/>
          </w:tcPr>
          <w:p>
            <w:pPr>
              <w:adjustRightInd w:val="0"/>
              <w:snapToGrid w:val="0"/>
              <w:spacing w:line="288" w:lineRule="auto"/>
              <w:jc w:val="left"/>
              <w:rPr>
                <w:rFonts w:ascii="宋体" w:hAnsi="宋体" w:eastAsia="宋体" w:cs="Times New Roman"/>
                <w:b/>
                <w:bCs/>
                <w:szCs w:val="21"/>
              </w:rPr>
            </w:pPr>
            <w:r>
              <w:rPr>
                <w:rFonts w:ascii="宋体" w:hAnsi="宋体" w:eastAsia="宋体" w:cs="Times New Roman"/>
                <w:b/>
                <w:bCs/>
                <w:szCs w:val="21"/>
              </w:rPr>
              <w:t>商务分</w:t>
            </w:r>
            <w:r>
              <w:rPr>
                <w:rFonts w:hint="eastAsia" w:ascii="宋体" w:hAnsi="宋体" w:eastAsia="宋体" w:cs="Times New Roman"/>
                <w:b/>
                <w:bCs/>
                <w:szCs w:val="21"/>
              </w:rPr>
              <w:t>（</w:t>
            </w:r>
            <w:r>
              <w:rPr>
                <w:rFonts w:hint="eastAsia" w:ascii="宋体" w:hAnsi="宋体" w:eastAsia="宋体" w:cs="Times New Roman"/>
                <w:b/>
                <w:bCs/>
                <w:szCs w:val="21"/>
                <w:lang w:val="en-US" w:eastAsia="zh-CN"/>
              </w:rPr>
              <w:t>5</w:t>
            </w:r>
            <w:r>
              <w:rPr>
                <w:rFonts w:hint="eastAsia" w:ascii="宋体" w:hAnsi="宋体" w:eastAsia="宋体" w:cs="Times New Roman"/>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767" w:type="dxa"/>
            <w:vAlign w:val="center"/>
          </w:tcPr>
          <w:p>
            <w:pPr>
              <w:adjustRightInd w:val="0"/>
              <w:snapToGrid w:val="0"/>
              <w:spacing w:line="288" w:lineRule="auto"/>
              <w:jc w:val="center"/>
              <w:rPr>
                <w:rFonts w:ascii="宋体" w:hAnsi="宋体" w:eastAsia="宋体" w:cs="宋体"/>
                <w:b/>
                <w:bCs/>
                <w:szCs w:val="21"/>
              </w:rPr>
            </w:pPr>
            <w:r>
              <w:rPr>
                <w:rFonts w:hint="eastAsia" w:ascii="宋体" w:hAnsi="宋体" w:eastAsia="宋体" w:cs="宋体"/>
                <w:b/>
                <w:bCs/>
                <w:szCs w:val="21"/>
              </w:rPr>
              <w:t>业绩</w:t>
            </w:r>
          </w:p>
        </w:tc>
        <w:tc>
          <w:tcPr>
            <w:tcW w:w="654" w:type="dxa"/>
            <w:vAlign w:val="center"/>
          </w:tcPr>
          <w:p>
            <w:pPr>
              <w:adjustRightInd w:val="0"/>
              <w:snapToGrid w:val="0"/>
              <w:spacing w:line="288" w:lineRule="auto"/>
              <w:jc w:val="center"/>
              <w:rPr>
                <w:rFonts w:hint="eastAsia" w:ascii="宋体" w:hAnsi="宋体" w:eastAsia="宋体" w:cs="宋体"/>
                <w:b/>
                <w:bCs/>
                <w:szCs w:val="21"/>
                <w:lang w:eastAsia="zh-CN"/>
              </w:rPr>
            </w:pPr>
            <w:r>
              <w:rPr>
                <w:rFonts w:hint="eastAsia" w:ascii="宋体" w:hAnsi="宋体" w:eastAsia="宋体" w:cs="宋体"/>
                <w:b/>
                <w:bCs/>
                <w:szCs w:val="21"/>
                <w:lang w:val="en-US" w:eastAsia="zh-CN"/>
              </w:rPr>
              <w:t>5</w:t>
            </w:r>
          </w:p>
        </w:tc>
        <w:tc>
          <w:tcPr>
            <w:tcW w:w="7072" w:type="dxa"/>
            <w:vAlign w:val="center"/>
          </w:tcPr>
          <w:p>
            <w:pPr>
              <w:adjustRightInd w:val="0"/>
              <w:snapToGrid w:val="0"/>
              <w:spacing w:line="288" w:lineRule="auto"/>
              <w:rPr>
                <w:rFonts w:ascii="宋体" w:hAnsi="宋体" w:eastAsia="宋体" w:cs="宋体"/>
                <w:szCs w:val="21"/>
              </w:rPr>
            </w:pPr>
            <w:r>
              <w:rPr>
                <w:rFonts w:hint="eastAsia" w:ascii="宋体" w:hAnsi="宋体" w:eastAsia="宋体" w:cs="宋体"/>
                <w:szCs w:val="21"/>
              </w:rPr>
              <w:t>【客观分】</w:t>
            </w:r>
          </w:p>
          <w:p>
            <w:pPr>
              <w:adjustRightInd w:val="0"/>
              <w:snapToGrid w:val="0"/>
              <w:spacing w:line="288" w:lineRule="auto"/>
              <w:rPr>
                <w:rFonts w:ascii="宋体" w:hAnsi="宋体" w:eastAsia="宋体" w:cs="宋体"/>
                <w:szCs w:val="21"/>
              </w:rPr>
            </w:pPr>
            <w:r>
              <w:rPr>
                <w:rFonts w:hint="eastAsia" w:ascii="宋体" w:hAnsi="宋体" w:eastAsia="宋体" w:cs="宋体"/>
                <w:szCs w:val="21"/>
              </w:rPr>
              <w:t>投标人自2019年1月1日以来（以合同签订时间为准）同类合同业绩（以提供的合同扫描件为准）：每提供1份合同业绩得</w:t>
            </w:r>
            <w:r>
              <w:rPr>
                <w:rFonts w:ascii="宋体" w:hAnsi="宋体" w:eastAsia="宋体" w:cs="宋体"/>
                <w:szCs w:val="21"/>
              </w:rPr>
              <w:t>1</w:t>
            </w:r>
            <w:r>
              <w:rPr>
                <w:rFonts w:hint="eastAsia" w:ascii="宋体" w:hAnsi="宋体" w:eastAsia="宋体" w:cs="宋体"/>
                <w:szCs w:val="21"/>
              </w:rPr>
              <w:t>分，最高得</w:t>
            </w:r>
            <w:r>
              <w:rPr>
                <w:rFonts w:hint="eastAsia" w:ascii="宋体" w:hAnsi="宋体" w:eastAsia="宋体" w:cs="宋体"/>
                <w:szCs w:val="21"/>
                <w:lang w:val="en-US" w:eastAsia="zh-CN"/>
              </w:rPr>
              <w:t>5</w:t>
            </w:r>
            <w:r>
              <w:rPr>
                <w:rFonts w:hint="eastAsia" w:ascii="宋体" w:hAnsi="宋体" w:eastAsia="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93" w:type="dxa"/>
            <w:gridSpan w:val="3"/>
            <w:vAlign w:val="center"/>
          </w:tcPr>
          <w:p>
            <w:pPr>
              <w:adjustRightInd w:val="0"/>
              <w:snapToGrid w:val="0"/>
              <w:spacing w:line="288" w:lineRule="auto"/>
              <w:jc w:val="left"/>
              <w:rPr>
                <w:rFonts w:ascii="宋体" w:hAnsi="宋体" w:eastAsia="宋体" w:cs="Times New Roman"/>
                <w:b/>
                <w:bCs/>
                <w:szCs w:val="21"/>
              </w:rPr>
            </w:pPr>
            <w:r>
              <w:rPr>
                <w:rFonts w:hint="eastAsia" w:ascii="宋体" w:hAnsi="宋体" w:eastAsia="宋体" w:cs="Times New Roman"/>
                <w:b/>
                <w:bCs/>
                <w:szCs w:val="21"/>
              </w:rPr>
              <w:t>技术</w:t>
            </w:r>
            <w:r>
              <w:rPr>
                <w:rFonts w:ascii="宋体" w:hAnsi="宋体" w:eastAsia="宋体" w:cs="Times New Roman"/>
                <w:b/>
                <w:bCs/>
                <w:szCs w:val="21"/>
              </w:rPr>
              <w:t>分</w:t>
            </w:r>
            <w:r>
              <w:rPr>
                <w:rFonts w:hint="eastAsia" w:ascii="宋体" w:hAnsi="宋体" w:eastAsia="宋体" w:cs="Times New Roman"/>
                <w:b/>
                <w:bCs/>
                <w:szCs w:val="21"/>
              </w:rPr>
              <w:t>（8</w:t>
            </w:r>
            <w:r>
              <w:rPr>
                <w:rFonts w:hint="eastAsia" w:ascii="宋体" w:hAnsi="宋体" w:eastAsia="宋体" w:cs="Times New Roman"/>
                <w:b/>
                <w:bCs/>
                <w:szCs w:val="21"/>
                <w:lang w:val="en-US" w:eastAsia="zh-CN"/>
              </w:rPr>
              <w:t>5</w:t>
            </w:r>
            <w:r>
              <w:rPr>
                <w:rFonts w:hint="eastAsia" w:ascii="宋体" w:hAnsi="宋体" w:eastAsia="宋体" w:cs="Times New Roman"/>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767" w:type="dxa"/>
            <w:vAlign w:val="center"/>
          </w:tcPr>
          <w:p>
            <w:pPr>
              <w:adjustRightInd w:val="0"/>
              <w:snapToGrid w:val="0"/>
              <w:spacing w:line="288" w:lineRule="auto"/>
              <w:jc w:val="center"/>
              <w:rPr>
                <w:rFonts w:hint="eastAsia" w:ascii="宋体" w:hAnsi="宋体" w:eastAsia="宋体" w:cs="宋体"/>
                <w:b/>
                <w:bCs/>
                <w:szCs w:val="21"/>
                <w:lang w:val="en-US" w:eastAsia="zh-CN"/>
              </w:rPr>
            </w:pPr>
            <w:r>
              <w:rPr>
                <w:rFonts w:hint="eastAsia" w:ascii="宋体" w:hAnsi="宋体" w:eastAsia="宋体" w:cs="宋体"/>
                <w:b/>
                <w:bCs/>
                <w:szCs w:val="21"/>
              </w:rPr>
              <w:t>响应程度</w:t>
            </w:r>
            <w:r>
              <w:rPr>
                <w:rFonts w:hint="eastAsia" w:ascii="宋体" w:hAnsi="宋体" w:eastAsia="宋体" w:cs="宋体"/>
                <w:b/>
                <w:bCs/>
                <w:szCs w:val="21"/>
                <w:lang w:val="en-US" w:eastAsia="zh-CN"/>
              </w:rPr>
              <w:t>4</w:t>
            </w:r>
          </w:p>
        </w:tc>
        <w:tc>
          <w:tcPr>
            <w:tcW w:w="654" w:type="dxa"/>
            <w:vAlign w:val="center"/>
          </w:tcPr>
          <w:p>
            <w:pPr>
              <w:adjustRightInd w:val="0"/>
              <w:snapToGrid w:val="0"/>
              <w:spacing w:line="288" w:lineRule="auto"/>
              <w:jc w:val="center"/>
              <w:rPr>
                <w:rFonts w:ascii="宋体" w:hAnsi="宋体" w:eastAsia="宋体" w:cs="宋体"/>
                <w:b/>
                <w:bCs/>
                <w:szCs w:val="21"/>
              </w:rPr>
            </w:pPr>
            <w:r>
              <w:rPr>
                <w:rFonts w:ascii="宋体" w:hAnsi="宋体" w:eastAsia="宋体" w:cs="宋体"/>
                <w:b/>
                <w:bCs/>
                <w:szCs w:val="21"/>
              </w:rPr>
              <w:t>4</w:t>
            </w:r>
          </w:p>
        </w:tc>
        <w:tc>
          <w:tcPr>
            <w:tcW w:w="7072" w:type="dxa"/>
            <w:vAlign w:val="center"/>
          </w:tcPr>
          <w:p>
            <w:pPr>
              <w:adjustRightInd w:val="0"/>
              <w:snapToGrid w:val="0"/>
              <w:spacing w:line="288" w:lineRule="auto"/>
              <w:rPr>
                <w:rFonts w:ascii="宋体" w:hAnsi="宋体" w:eastAsia="宋体" w:cs="宋体"/>
                <w:szCs w:val="21"/>
              </w:rPr>
            </w:pPr>
            <w:r>
              <w:rPr>
                <w:rFonts w:hint="eastAsia" w:ascii="宋体" w:hAnsi="宋体" w:eastAsia="宋体" w:cs="宋体"/>
                <w:szCs w:val="21"/>
              </w:rPr>
              <w:t>【客观分】</w:t>
            </w:r>
          </w:p>
          <w:p>
            <w:pPr>
              <w:adjustRightInd w:val="0"/>
              <w:snapToGrid w:val="0"/>
              <w:spacing w:line="288" w:lineRule="auto"/>
              <w:rPr>
                <w:rFonts w:ascii="宋体" w:hAnsi="宋体" w:eastAsia="宋体" w:cs="宋体"/>
                <w:szCs w:val="21"/>
              </w:rPr>
            </w:pPr>
            <w:r>
              <w:rPr>
                <w:rFonts w:hint="eastAsia" w:ascii="宋体" w:hAnsi="宋体" w:eastAsia="宋体" w:cs="宋体"/>
                <w:szCs w:val="21"/>
              </w:rPr>
              <w:t>不符合（负偏离）技术要求中标注“▲”条款（不可偏离）的投标无效；</w:t>
            </w:r>
          </w:p>
          <w:p>
            <w:pPr>
              <w:adjustRightInd w:val="0"/>
              <w:snapToGrid w:val="0"/>
              <w:spacing w:line="288" w:lineRule="auto"/>
              <w:rPr>
                <w:rFonts w:ascii="宋体" w:hAnsi="宋体" w:eastAsia="宋体" w:cs="宋体"/>
                <w:szCs w:val="21"/>
              </w:rPr>
            </w:pPr>
            <w:r>
              <w:rPr>
                <w:rFonts w:hint="eastAsia" w:ascii="宋体" w:hAnsi="宋体" w:eastAsia="宋体" w:cs="宋体"/>
                <w:szCs w:val="21"/>
              </w:rPr>
              <w:t>满足招标文件明确的全部服务条款要求的</w:t>
            </w:r>
            <w:r>
              <w:rPr>
                <w:rFonts w:hint="eastAsia" w:ascii="宋体" w:hAnsi="宋体" w:eastAsia="宋体" w:cs="Times New Roman"/>
                <w:szCs w:val="21"/>
              </w:rPr>
              <w:t>该项得满分</w:t>
            </w:r>
            <w:r>
              <w:rPr>
                <w:rFonts w:hint="eastAsia" w:ascii="宋体" w:hAnsi="宋体" w:eastAsia="宋体" w:cs="宋体"/>
                <w:szCs w:val="21"/>
              </w:rPr>
              <w:t>；</w:t>
            </w:r>
          </w:p>
          <w:p>
            <w:pPr>
              <w:adjustRightInd w:val="0"/>
              <w:snapToGrid w:val="0"/>
              <w:spacing w:line="288" w:lineRule="auto"/>
              <w:rPr>
                <w:rFonts w:ascii="宋体" w:hAnsi="宋体" w:eastAsia="宋体" w:cs="宋体"/>
                <w:szCs w:val="21"/>
              </w:rPr>
            </w:pPr>
            <w:r>
              <w:rPr>
                <w:rFonts w:hint="eastAsia" w:ascii="宋体" w:hAnsi="宋体" w:eastAsia="宋体" w:cs="宋体"/>
                <w:szCs w:val="21"/>
              </w:rPr>
              <w:t>服务条款低于服务要求（负偏离）的每项扣</w:t>
            </w:r>
            <w:r>
              <w:rPr>
                <w:rFonts w:ascii="宋体" w:hAnsi="宋体" w:eastAsia="宋体" w:cs="宋体"/>
                <w:szCs w:val="21"/>
              </w:rPr>
              <w:t>1</w:t>
            </w:r>
            <w:r>
              <w:rPr>
                <w:rFonts w:hint="eastAsia" w:ascii="宋体" w:hAnsi="宋体" w:eastAsia="宋体" w:cs="宋体"/>
                <w:szCs w:val="21"/>
              </w:rPr>
              <w:t>分；</w:t>
            </w:r>
          </w:p>
          <w:p>
            <w:pPr>
              <w:adjustRightInd w:val="0"/>
              <w:snapToGrid w:val="0"/>
              <w:spacing w:line="288" w:lineRule="auto"/>
              <w:rPr>
                <w:rFonts w:ascii="宋体" w:hAnsi="宋体" w:eastAsia="宋体" w:cs="宋体"/>
                <w:szCs w:val="21"/>
              </w:rPr>
            </w:pPr>
            <w:r>
              <w:rPr>
                <w:rFonts w:hint="eastAsia" w:ascii="宋体" w:hAnsi="宋体" w:eastAsia="宋体" w:cs="宋体"/>
                <w:szCs w:val="21"/>
              </w:rPr>
              <w:t>负偏离</w:t>
            </w:r>
            <w:r>
              <w:rPr>
                <w:rFonts w:ascii="宋体" w:hAnsi="宋体" w:eastAsia="宋体" w:cs="宋体"/>
                <w:szCs w:val="21"/>
              </w:rPr>
              <w:t>4</w:t>
            </w:r>
            <w:r>
              <w:rPr>
                <w:rFonts w:hint="eastAsia" w:ascii="宋体" w:hAnsi="宋体" w:eastAsia="宋体" w:cs="宋体"/>
                <w:szCs w:val="21"/>
              </w:rPr>
              <w:t>项及以上的投标无效。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767" w:type="dxa"/>
            <w:vMerge w:val="restart"/>
            <w:tcBorders>
              <w:top w:val="single" w:color="auto" w:sz="4" w:space="0"/>
              <w:left w:val="single" w:color="auto" w:sz="4" w:space="0"/>
              <w:right w:val="single" w:color="auto" w:sz="4" w:space="0"/>
            </w:tcBorders>
            <w:vAlign w:val="center"/>
          </w:tcPr>
          <w:p>
            <w:pPr>
              <w:adjustRightInd w:val="0"/>
              <w:snapToGrid w:val="0"/>
              <w:spacing w:line="288" w:lineRule="auto"/>
              <w:jc w:val="center"/>
              <w:rPr>
                <w:rFonts w:hint="default" w:ascii="宋体" w:hAnsi="宋体" w:eastAsia="宋体" w:cs="宋体"/>
                <w:b/>
                <w:bCs/>
                <w:kern w:val="0"/>
                <w:szCs w:val="21"/>
                <w:lang w:val="en-US" w:eastAsia="zh-CN"/>
              </w:rPr>
            </w:pPr>
            <w:r>
              <w:rPr>
                <w:rFonts w:hint="eastAsia" w:ascii="宋体" w:hAnsi="宋体" w:eastAsia="宋体" w:cs="宋体"/>
                <w:b/>
                <w:bCs/>
                <w:szCs w:val="21"/>
              </w:rPr>
              <w:t>服务方案</w:t>
            </w:r>
            <w:bookmarkStart w:id="0" w:name="_GoBack"/>
            <w:bookmarkEnd w:id="0"/>
          </w:p>
        </w:tc>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ascii="宋体" w:hAnsi="宋体" w:eastAsia="宋体" w:cs="宋体"/>
                <w:b/>
                <w:bCs/>
                <w:szCs w:val="21"/>
              </w:rPr>
            </w:pPr>
            <w:r>
              <w:rPr>
                <w:rFonts w:hint="eastAsia" w:ascii="宋体" w:hAnsi="宋体" w:eastAsia="宋体" w:cs="宋体"/>
                <w:b/>
                <w:bCs/>
                <w:szCs w:val="21"/>
              </w:rPr>
              <w:t>5</w:t>
            </w:r>
          </w:p>
        </w:tc>
        <w:tc>
          <w:tcPr>
            <w:tcW w:w="70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rPr>
                <w:rFonts w:ascii="宋体" w:hAnsi="宋体" w:eastAsia="宋体" w:cs="宋体"/>
                <w:szCs w:val="21"/>
              </w:rPr>
            </w:pPr>
            <w:r>
              <w:rPr>
                <w:rFonts w:hint="eastAsia" w:ascii="宋体" w:hAnsi="宋体" w:eastAsia="宋体" w:cs="宋体"/>
                <w:szCs w:val="21"/>
              </w:rPr>
              <w:t>【主观分】</w:t>
            </w:r>
          </w:p>
          <w:p>
            <w:pPr>
              <w:adjustRightInd w:val="0"/>
              <w:snapToGrid w:val="0"/>
              <w:spacing w:line="288" w:lineRule="auto"/>
              <w:rPr>
                <w:rFonts w:ascii="宋体" w:hAnsi="宋体" w:eastAsia="宋体" w:cs="宋体"/>
                <w:szCs w:val="21"/>
              </w:rPr>
            </w:pPr>
            <w:r>
              <w:rPr>
                <w:rFonts w:hint="eastAsia" w:ascii="宋体" w:hAnsi="宋体" w:eastAsia="宋体" w:cs="宋体"/>
                <w:szCs w:val="21"/>
              </w:rPr>
              <w:t>整体项目策划、组织方案情况，包括但不限于工作目标、工作流程等内容，未提供不得分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767" w:type="dxa"/>
            <w:vMerge w:val="continue"/>
            <w:tcBorders>
              <w:left w:val="single" w:color="auto" w:sz="4" w:space="0"/>
              <w:right w:val="single" w:color="auto" w:sz="4" w:space="0"/>
            </w:tcBorders>
            <w:vAlign w:val="center"/>
          </w:tcPr>
          <w:p>
            <w:pPr>
              <w:adjustRightInd w:val="0"/>
              <w:snapToGrid w:val="0"/>
              <w:spacing w:line="288" w:lineRule="auto"/>
              <w:jc w:val="center"/>
              <w:rPr>
                <w:rFonts w:ascii="宋体" w:hAnsi="宋体" w:eastAsia="宋体" w:cs="宋体"/>
                <w:b/>
                <w:bCs/>
                <w:szCs w:val="21"/>
              </w:rPr>
            </w:pPr>
          </w:p>
        </w:tc>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ascii="宋体" w:hAnsi="宋体" w:eastAsia="宋体" w:cs="宋体"/>
                <w:b/>
                <w:bCs/>
                <w:szCs w:val="21"/>
              </w:rPr>
            </w:pPr>
            <w:r>
              <w:rPr>
                <w:rFonts w:hint="eastAsia" w:ascii="宋体" w:hAnsi="宋体" w:eastAsia="宋体" w:cs="宋体"/>
                <w:b/>
                <w:bCs/>
                <w:szCs w:val="21"/>
              </w:rPr>
              <w:t>5</w:t>
            </w:r>
          </w:p>
        </w:tc>
        <w:tc>
          <w:tcPr>
            <w:tcW w:w="70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rPr>
                <w:rFonts w:ascii="宋体" w:hAnsi="宋体" w:eastAsia="宋体" w:cs="宋体"/>
                <w:szCs w:val="21"/>
              </w:rPr>
            </w:pPr>
            <w:r>
              <w:rPr>
                <w:rFonts w:hint="eastAsia" w:ascii="宋体" w:hAnsi="宋体" w:eastAsia="宋体" w:cs="宋体"/>
                <w:szCs w:val="21"/>
              </w:rPr>
              <w:t>【主观分】</w:t>
            </w:r>
          </w:p>
          <w:p>
            <w:pPr>
              <w:adjustRightInd w:val="0"/>
              <w:snapToGrid w:val="0"/>
              <w:spacing w:line="288" w:lineRule="auto"/>
              <w:rPr>
                <w:rFonts w:ascii="宋体" w:hAnsi="宋体" w:eastAsia="宋体" w:cs="宋体"/>
                <w:szCs w:val="21"/>
              </w:rPr>
            </w:pPr>
            <w:r>
              <w:rPr>
                <w:rFonts w:hint="eastAsia" w:ascii="宋体" w:hAnsi="宋体" w:eastAsia="宋体" w:cs="宋体"/>
                <w:szCs w:val="21"/>
              </w:rPr>
              <w:t>投标人拟提供的考点考场情况。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767" w:type="dxa"/>
            <w:vMerge w:val="continue"/>
            <w:tcBorders>
              <w:left w:val="single" w:color="auto" w:sz="4" w:space="0"/>
              <w:right w:val="single" w:color="auto" w:sz="4" w:space="0"/>
            </w:tcBorders>
            <w:vAlign w:val="center"/>
          </w:tcPr>
          <w:p>
            <w:pPr>
              <w:adjustRightInd w:val="0"/>
              <w:snapToGrid w:val="0"/>
              <w:spacing w:line="288" w:lineRule="auto"/>
              <w:jc w:val="center"/>
              <w:rPr>
                <w:rFonts w:ascii="宋体" w:hAnsi="宋体" w:eastAsia="宋体" w:cs="Times New Roman"/>
                <w:b/>
                <w:bCs/>
                <w:szCs w:val="21"/>
              </w:rPr>
            </w:pPr>
          </w:p>
        </w:tc>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ascii="宋体" w:hAnsi="宋体" w:eastAsia="宋体" w:cs="宋体"/>
                <w:b/>
                <w:bCs/>
                <w:szCs w:val="21"/>
              </w:rPr>
            </w:pPr>
            <w:r>
              <w:rPr>
                <w:rFonts w:hint="eastAsia" w:ascii="宋体" w:hAnsi="宋体" w:eastAsia="宋体" w:cs="宋体"/>
                <w:b/>
                <w:bCs/>
                <w:szCs w:val="21"/>
              </w:rPr>
              <w:t>5</w:t>
            </w:r>
          </w:p>
        </w:tc>
        <w:tc>
          <w:tcPr>
            <w:tcW w:w="70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rPr>
                <w:rFonts w:ascii="宋体" w:hAnsi="宋体" w:eastAsia="宋体" w:cs="宋体"/>
                <w:szCs w:val="21"/>
              </w:rPr>
            </w:pPr>
            <w:r>
              <w:rPr>
                <w:rFonts w:hint="eastAsia" w:ascii="宋体" w:hAnsi="宋体" w:eastAsia="宋体" w:cs="宋体"/>
                <w:szCs w:val="21"/>
              </w:rPr>
              <w:t>【主观分】</w:t>
            </w:r>
          </w:p>
          <w:p>
            <w:pPr>
              <w:adjustRightInd w:val="0"/>
              <w:snapToGrid w:val="0"/>
              <w:spacing w:line="288" w:lineRule="auto"/>
              <w:rPr>
                <w:rFonts w:ascii="宋体" w:hAnsi="宋体" w:eastAsia="宋体" w:cs="宋体"/>
                <w:szCs w:val="21"/>
              </w:rPr>
            </w:pPr>
            <w:r>
              <w:rPr>
                <w:rFonts w:hint="eastAsia" w:ascii="宋体" w:hAnsi="宋体" w:eastAsia="宋体" w:cs="宋体"/>
                <w:szCs w:val="21"/>
              </w:rPr>
              <w:t>拟提供的</w:t>
            </w:r>
            <w:r>
              <w:rPr>
                <w:rFonts w:hint="eastAsia" w:ascii="宋体" w:hAnsi="宋体" w:eastAsia="宋体" w:cs="宋体"/>
                <w:szCs w:val="21"/>
                <w:lang w:eastAsia="zh-CN"/>
              </w:rPr>
              <w:t>考场</w:t>
            </w:r>
            <w:r>
              <w:rPr>
                <w:rFonts w:hint="eastAsia" w:ascii="宋体" w:hAnsi="宋体" w:eastAsia="宋体" w:cs="宋体"/>
                <w:szCs w:val="21"/>
              </w:rPr>
              <w:t>考务情况，须提供</w:t>
            </w:r>
            <w:r>
              <w:rPr>
                <w:rFonts w:hint="eastAsia" w:ascii="宋体" w:hAnsi="宋体" w:eastAsia="宋体" w:cs="宋体"/>
                <w:szCs w:val="21"/>
                <w:lang w:eastAsia="zh-CN"/>
              </w:rPr>
              <w:t>考务</w:t>
            </w:r>
            <w:r>
              <w:rPr>
                <w:rFonts w:hint="eastAsia" w:ascii="宋体" w:hAnsi="宋体" w:eastAsia="宋体" w:cs="宋体"/>
                <w:szCs w:val="21"/>
              </w:rPr>
              <w:t>流程</w:t>
            </w:r>
            <w:r>
              <w:rPr>
                <w:rFonts w:hint="eastAsia" w:ascii="宋体" w:hAnsi="宋体" w:eastAsia="宋体" w:cs="宋体"/>
                <w:szCs w:val="21"/>
                <w:lang w:eastAsia="zh-CN"/>
              </w:rPr>
              <w:t>及考场安排等工作</w:t>
            </w:r>
            <w:r>
              <w:rPr>
                <w:rFonts w:hint="eastAsia" w:ascii="宋体" w:hAnsi="宋体" w:eastAsia="宋体" w:cs="宋体"/>
                <w:szCs w:val="21"/>
              </w:rPr>
              <w:t>。未提供不得分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767" w:type="dxa"/>
            <w:vMerge w:val="continue"/>
            <w:tcBorders>
              <w:left w:val="single" w:color="auto" w:sz="4" w:space="0"/>
              <w:right w:val="single" w:color="auto" w:sz="4" w:space="0"/>
            </w:tcBorders>
            <w:vAlign w:val="center"/>
          </w:tcPr>
          <w:p>
            <w:pPr>
              <w:adjustRightInd w:val="0"/>
              <w:snapToGrid w:val="0"/>
              <w:spacing w:line="288" w:lineRule="auto"/>
              <w:jc w:val="center"/>
              <w:rPr>
                <w:rFonts w:ascii="宋体" w:hAnsi="宋体" w:eastAsia="宋体" w:cs="Times New Roman"/>
                <w:b/>
                <w:bCs/>
                <w:szCs w:val="21"/>
              </w:rPr>
            </w:pPr>
          </w:p>
        </w:tc>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ascii="宋体" w:hAnsi="宋体" w:eastAsia="宋体" w:cs="宋体"/>
                <w:b/>
                <w:bCs/>
                <w:szCs w:val="21"/>
              </w:rPr>
            </w:pPr>
            <w:r>
              <w:rPr>
                <w:rFonts w:hint="eastAsia" w:ascii="宋体" w:hAnsi="宋体" w:eastAsia="宋体" w:cs="宋体"/>
                <w:b/>
                <w:bCs/>
                <w:szCs w:val="21"/>
              </w:rPr>
              <w:t>5</w:t>
            </w:r>
          </w:p>
        </w:tc>
        <w:tc>
          <w:tcPr>
            <w:tcW w:w="70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rPr>
                <w:rFonts w:ascii="宋体" w:hAnsi="宋体" w:eastAsia="宋体" w:cs="宋体"/>
                <w:szCs w:val="21"/>
              </w:rPr>
            </w:pPr>
            <w:r>
              <w:rPr>
                <w:rFonts w:hint="eastAsia" w:ascii="宋体" w:hAnsi="宋体" w:eastAsia="宋体" w:cs="宋体"/>
                <w:szCs w:val="21"/>
              </w:rPr>
              <w:t>【主观分】</w:t>
            </w:r>
          </w:p>
          <w:p>
            <w:pPr>
              <w:adjustRightInd w:val="0"/>
              <w:snapToGrid w:val="0"/>
              <w:spacing w:line="288" w:lineRule="auto"/>
              <w:rPr>
                <w:rFonts w:ascii="宋体" w:hAnsi="宋体" w:eastAsia="宋体" w:cs="宋体"/>
                <w:szCs w:val="21"/>
              </w:rPr>
            </w:pPr>
            <w:r>
              <w:rPr>
                <w:rFonts w:hint="eastAsia" w:ascii="宋体" w:hAnsi="宋体" w:eastAsia="宋体" w:cs="宋体"/>
                <w:szCs w:val="21"/>
              </w:rPr>
              <w:t>拟提供的</w:t>
            </w:r>
            <w:r>
              <w:rPr>
                <w:rFonts w:hint="eastAsia" w:ascii="宋体" w:hAnsi="宋体" w:eastAsia="宋体" w:cs="宋体"/>
                <w:szCs w:val="21"/>
                <w:lang w:eastAsia="zh-CN"/>
              </w:rPr>
              <w:t>命题组卷</w:t>
            </w:r>
            <w:r>
              <w:rPr>
                <w:rFonts w:hint="eastAsia" w:ascii="宋体" w:hAnsi="宋体" w:eastAsia="宋体" w:cs="宋体"/>
                <w:szCs w:val="21"/>
              </w:rPr>
              <w:t>情况，是否满足服务要求。须提供</w:t>
            </w:r>
            <w:r>
              <w:rPr>
                <w:rFonts w:hint="eastAsia" w:ascii="宋体" w:hAnsi="宋体" w:eastAsia="宋体" w:cs="宋体"/>
                <w:szCs w:val="21"/>
                <w:lang w:eastAsia="zh-CN"/>
              </w:rPr>
              <w:t>命题组卷人员资质</w:t>
            </w:r>
            <w:r>
              <w:rPr>
                <w:rFonts w:hint="eastAsia" w:ascii="宋体" w:hAnsi="宋体" w:eastAsia="宋体" w:cs="宋体"/>
                <w:szCs w:val="21"/>
              </w:rPr>
              <w:t>。未提供不得分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67" w:type="dxa"/>
            <w:vMerge w:val="continue"/>
            <w:tcBorders>
              <w:left w:val="single" w:color="auto" w:sz="4" w:space="0"/>
              <w:right w:val="single" w:color="auto" w:sz="4" w:space="0"/>
            </w:tcBorders>
            <w:vAlign w:val="center"/>
          </w:tcPr>
          <w:p>
            <w:pPr>
              <w:adjustRightInd w:val="0"/>
              <w:snapToGrid w:val="0"/>
              <w:spacing w:line="288" w:lineRule="auto"/>
              <w:jc w:val="center"/>
              <w:rPr>
                <w:rFonts w:ascii="宋体" w:hAnsi="宋体" w:eastAsia="宋体" w:cs="Times New Roman"/>
                <w:b/>
                <w:bCs/>
                <w:szCs w:val="21"/>
              </w:rPr>
            </w:pPr>
          </w:p>
        </w:tc>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ascii="宋体" w:hAnsi="宋体" w:eastAsia="宋体" w:cs="宋体"/>
                <w:b/>
                <w:bCs/>
                <w:szCs w:val="21"/>
              </w:rPr>
            </w:pPr>
            <w:r>
              <w:rPr>
                <w:rFonts w:hint="eastAsia" w:ascii="宋体" w:hAnsi="宋体" w:eastAsia="宋体" w:cs="宋体"/>
                <w:b/>
                <w:bCs/>
                <w:szCs w:val="21"/>
              </w:rPr>
              <w:t>5</w:t>
            </w:r>
          </w:p>
        </w:tc>
        <w:tc>
          <w:tcPr>
            <w:tcW w:w="70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rPr>
                <w:rFonts w:ascii="宋体" w:hAnsi="宋体" w:eastAsia="宋体" w:cs="宋体"/>
                <w:szCs w:val="21"/>
              </w:rPr>
            </w:pPr>
            <w:r>
              <w:rPr>
                <w:rFonts w:hint="eastAsia" w:ascii="宋体" w:hAnsi="宋体" w:eastAsia="宋体" w:cs="宋体"/>
                <w:szCs w:val="21"/>
              </w:rPr>
              <w:t>【主观分】</w:t>
            </w:r>
          </w:p>
          <w:p>
            <w:pPr>
              <w:adjustRightInd w:val="0"/>
              <w:snapToGrid w:val="0"/>
              <w:spacing w:line="288" w:lineRule="auto"/>
              <w:rPr>
                <w:rFonts w:ascii="宋体" w:hAnsi="宋体" w:eastAsia="宋体" w:cs="宋体"/>
                <w:szCs w:val="21"/>
              </w:rPr>
            </w:pPr>
            <w:r>
              <w:rPr>
                <w:rFonts w:hint="eastAsia" w:ascii="宋体" w:hAnsi="宋体" w:eastAsia="宋体" w:cs="宋体"/>
                <w:szCs w:val="21"/>
              </w:rPr>
              <w:t>拟提供</w:t>
            </w:r>
            <w:r>
              <w:rPr>
                <w:rFonts w:hint="eastAsia" w:ascii="宋体" w:hAnsi="宋体" w:eastAsia="宋体" w:cs="宋体"/>
                <w:szCs w:val="21"/>
                <w:lang w:eastAsia="zh-CN"/>
              </w:rPr>
              <w:t>试卷</w:t>
            </w:r>
            <w:r>
              <w:rPr>
                <w:rFonts w:hint="eastAsia" w:ascii="宋体" w:hAnsi="宋体" w:eastAsia="宋体" w:cs="宋体"/>
                <w:szCs w:val="21"/>
              </w:rPr>
              <w:t>的</w:t>
            </w:r>
            <w:r>
              <w:rPr>
                <w:rFonts w:hint="eastAsia" w:ascii="宋体" w:hAnsi="宋体" w:eastAsia="宋体" w:cs="宋体"/>
                <w:szCs w:val="21"/>
                <w:lang w:eastAsia="zh-CN"/>
              </w:rPr>
              <w:t>印制和封装</w:t>
            </w:r>
            <w:r>
              <w:rPr>
                <w:rFonts w:hint="eastAsia" w:ascii="宋体" w:hAnsi="宋体" w:eastAsia="宋体" w:cs="宋体"/>
                <w:szCs w:val="21"/>
              </w:rPr>
              <w:t>情况。须提供</w:t>
            </w:r>
            <w:r>
              <w:rPr>
                <w:rFonts w:hint="eastAsia" w:ascii="宋体" w:hAnsi="宋体" w:eastAsia="宋体" w:cs="宋体"/>
                <w:szCs w:val="21"/>
                <w:lang w:eastAsia="zh-CN"/>
              </w:rPr>
              <w:t>试卷印制和封装样板</w:t>
            </w:r>
            <w:r>
              <w:rPr>
                <w:rFonts w:hint="eastAsia" w:ascii="宋体" w:hAnsi="宋体" w:eastAsia="宋体" w:cs="宋体"/>
                <w:szCs w:val="21"/>
              </w:rPr>
              <w:t>。未提供不得分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767" w:type="dxa"/>
            <w:vMerge w:val="continue"/>
            <w:tcBorders>
              <w:left w:val="single" w:color="auto" w:sz="4" w:space="0"/>
              <w:right w:val="single" w:color="auto" w:sz="4" w:space="0"/>
            </w:tcBorders>
            <w:vAlign w:val="center"/>
          </w:tcPr>
          <w:p>
            <w:pPr>
              <w:adjustRightInd w:val="0"/>
              <w:snapToGrid w:val="0"/>
              <w:spacing w:line="288" w:lineRule="auto"/>
              <w:jc w:val="center"/>
              <w:rPr>
                <w:rFonts w:ascii="宋体" w:hAnsi="宋体" w:eastAsia="宋体" w:cs="Times New Roman"/>
                <w:b/>
                <w:bCs/>
                <w:szCs w:val="21"/>
              </w:rPr>
            </w:pPr>
          </w:p>
        </w:tc>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ascii="宋体" w:hAnsi="宋体" w:eastAsia="宋体" w:cs="宋体"/>
                <w:b/>
                <w:bCs/>
                <w:szCs w:val="21"/>
              </w:rPr>
            </w:pPr>
            <w:r>
              <w:rPr>
                <w:rFonts w:hint="eastAsia" w:ascii="宋体" w:hAnsi="宋体" w:eastAsia="宋体" w:cs="宋体"/>
                <w:b/>
                <w:bCs/>
                <w:szCs w:val="21"/>
              </w:rPr>
              <w:t>5</w:t>
            </w:r>
          </w:p>
        </w:tc>
        <w:tc>
          <w:tcPr>
            <w:tcW w:w="70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rPr>
                <w:rFonts w:ascii="宋体" w:hAnsi="宋体" w:eastAsia="宋体" w:cs="宋体"/>
                <w:szCs w:val="21"/>
              </w:rPr>
            </w:pPr>
            <w:r>
              <w:rPr>
                <w:rFonts w:hint="eastAsia" w:ascii="宋体" w:hAnsi="宋体" w:eastAsia="宋体" w:cs="宋体"/>
                <w:szCs w:val="21"/>
              </w:rPr>
              <w:t>【主观分】</w:t>
            </w:r>
          </w:p>
          <w:p>
            <w:pPr>
              <w:adjustRightInd w:val="0"/>
              <w:snapToGrid w:val="0"/>
              <w:spacing w:line="288" w:lineRule="auto"/>
              <w:rPr>
                <w:rFonts w:ascii="宋体" w:hAnsi="宋体" w:eastAsia="宋体" w:cs="Times New Roman"/>
                <w:szCs w:val="21"/>
              </w:rPr>
            </w:pPr>
            <w:r>
              <w:rPr>
                <w:rFonts w:hint="eastAsia" w:ascii="宋体" w:hAnsi="宋体" w:eastAsia="宋体" w:cs="宋体"/>
                <w:szCs w:val="21"/>
              </w:rPr>
              <w:t>拟提供</w:t>
            </w:r>
            <w:r>
              <w:rPr>
                <w:rFonts w:hint="eastAsia" w:ascii="宋体" w:hAnsi="宋体" w:eastAsia="宋体" w:cs="宋体"/>
                <w:szCs w:val="21"/>
                <w:lang w:eastAsia="zh-CN"/>
              </w:rPr>
              <w:t>试卷</w:t>
            </w:r>
            <w:r>
              <w:rPr>
                <w:rFonts w:hint="eastAsia" w:ascii="宋体" w:hAnsi="宋体" w:eastAsia="宋体" w:cs="宋体"/>
                <w:szCs w:val="21"/>
              </w:rPr>
              <w:t>的</w:t>
            </w:r>
            <w:r>
              <w:rPr>
                <w:rFonts w:hint="eastAsia" w:ascii="宋体" w:hAnsi="宋体" w:eastAsia="宋体" w:cs="宋体"/>
                <w:szCs w:val="21"/>
                <w:lang w:eastAsia="zh-CN"/>
              </w:rPr>
              <w:t>押运和交接</w:t>
            </w:r>
            <w:r>
              <w:rPr>
                <w:rFonts w:hint="eastAsia" w:ascii="宋体" w:hAnsi="宋体" w:eastAsia="宋体" w:cs="宋体"/>
                <w:szCs w:val="21"/>
              </w:rPr>
              <w:t>情况。须提供</w:t>
            </w:r>
            <w:r>
              <w:rPr>
                <w:rFonts w:hint="eastAsia" w:ascii="宋体" w:hAnsi="宋体" w:eastAsia="宋体" w:cs="宋体"/>
                <w:szCs w:val="21"/>
                <w:lang w:eastAsia="zh-CN"/>
              </w:rPr>
              <w:t>押运路线及交接手续</w:t>
            </w:r>
            <w:r>
              <w:rPr>
                <w:rFonts w:hint="eastAsia" w:ascii="宋体" w:hAnsi="宋体" w:eastAsia="宋体" w:cs="宋体"/>
                <w:szCs w:val="21"/>
              </w:rPr>
              <w:t>。未提供不得分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767" w:type="dxa"/>
            <w:vMerge w:val="continue"/>
            <w:tcBorders>
              <w:left w:val="single" w:color="auto" w:sz="4" w:space="0"/>
              <w:bottom w:val="single" w:color="auto" w:sz="4" w:space="0"/>
              <w:right w:val="single" w:color="auto" w:sz="4" w:space="0"/>
            </w:tcBorders>
            <w:vAlign w:val="center"/>
          </w:tcPr>
          <w:p>
            <w:pPr>
              <w:adjustRightInd w:val="0"/>
              <w:snapToGrid w:val="0"/>
              <w:spacing w:line="288" w:lineRule="auto"/>
              <w:jc w:val="center"/>
              <w:rPr>
                <w:rFonts w:hint="eastAsia" w:ascii="宋体" w:hAnsi="宋体" w:eastAsia="宋体" w:cs="宋体"/>
                <w:b/>
                <w:bCs/>
                <w:szCs w:val="21"/>
              </w:rPr>
            </w:pPr>
          </w:p>
        </w:tc>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hint="eastAsia" w:ascii="宋体" w:hAnsi="宋体" w:eastAsia="宋体" w:cs="宋体"/>
                <w:b/>
                <w:bCs/>
                <w:kern w:val="2"/>
                <w:sz w:val="21"/>
                <w:szCs w:val="21"/>
                <w:lang w:val="en-US" w:eastAsia="zh-CN" w:bidi="ar-SA"/>
              </w:rPr>
            </w:pPr>
            <w:r>
              <w:rPr>
                <w:rFonts w:hint="eastAsia" w:ascii="宋体" w:hAnsi="宋体" w:eastAsia="宋体" w:cs="宋体"/>
                <w:b/>
                <w:bCs/>
                <w:szCs w:val="21"/>
              </w:rPr>
              <w:t>5</w:t>
            </w:r>
          </w:p>
        </w:tc>
        <w:tc>
          <w:tcPr>
            <w:tcW w:w="70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rPr>
                <w:rFonts w:ascii="宋体" w:hAnsi="宋体" w:eastAsia="宋体" w:cs="宋体"/>
                <w:szCs w:val="21"/>
              </w:rPr>
            </w:pPr>
            <w:r>
              <w:rPr>
                <w:rFonts w:hint="eastAsia" w:ascii="宋体" w:hAnsi="宋体" w:eastAsia="宋体" w:cs="宋体"/>
                <w:szCs w:val="21"/>
              </w:rPr>
              <w:t>【主观分】</w:t>
            </w:r>
          </w:p>
          <w:p>
            <w:pPr>
              <w:adjustRightInd w:val="0"/>
              <w:snapToGrid w:val="0"/>
              <w:spacing w:line="288" w:lineRule="auto"/>
              <w:rPr>
                <w:rFonts w:hint="eastAsia" w:ascii="宋体" w:hAnsi="宋体" w:eastAsia="宋体" w:cs="Times New Roman"/>
                <w:kern w:val="2"/>
                <w:sz w:val="21"/>
                <w:szCs w:val="21"/>
                <w:lang w:val="en-US" w:eastAsia="zh-CN" w:bidi="ar-SA"/>
              </w:rPr>
            </w:pPr>
            <w:r>
              <w:rPr>
                <w:rFonts w:hint="eastAsia" w:ascii="宋体" w:hAnsi="宋体" w:eastAsia="宋体" w:cs="宋体"/>
                <w:szCs w:val="21"/>
              </w:rPr>
              <w:t>拟提供</w:t>
            </w:r>
            <w:r>
              <w:rPr>
                <w:rFonts w:hint="eastAsia" w:ascii="宋体" w:hAnsi="宋体" w:eastAsia="宋体" w:cs="宋体"/>
                <w:szCs w:val="21"/>
                <w:lang w:eastAsia="zh-CN"/>
              </w:rPr>
              <w:t>的阅卷</w:t>
            </w:r>
            <w:r>
              <w:rPr>
                <w:rFonts w:hint="eastAsia" w:ascii="宋体" w:hAnsi="宋体" w:eastAsia="宋体" w:cs="宋体"/>
                <w:szCs w:val="21"/>
              </w:rPr>
              <w:t>情况。须提供</w:t>
            </w:r>
            <w:r>
              <w:rPr>
                <w:rFonts w:hint="eastAsia" w:ascii="宋体" w:hAnsi="宋体" w:eastAsia="宋体" w:cs="宋体"/>
                <w:szCs w:val="21"/>
                <w:lang w:eastAsia="zh-CN"/>
              </w:rPr>
              <w:t>阅卷环境是否安全</w:t>
            </w:r>
            <w:r>
              <w:rPr>
                <w:rFonts w:hint="eastAsia" w:ascii="宋体" w:hAnsi="宋体" w:eastAsia="宋体" w:cs="宋体"/>
                <w:szCs w:val="21"/>
              </w:rPr>
              <w:t>。未提供不得分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ascii="宋体" w:hAnsi="宋体" w:eastAsia="宋体" w:cs="宋体"/>
                <w:b/>
                <w:bCs/>
                <w:szCs w:val="21"/>
              </w:rPr>
            </w:pPr>
            <w:r>
              <w:rPr>
                <w:rFonts w:hint="eastAsia" w:ascii="宋体" w:hAnsi="宋体" w:eastAsia="宋体" w:cs="宋体"/>
                <w:b/>
                <w:bCs/>
                <w:szCs w:val="21"/>
              </w:rPr>
              <w:t>项目团队</w:t>
            </w:r>
          </w:p>
        </w:tc>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hint="default" w:ascii="宋体" w:hAnsi="宋体" w:eastAsia="宋体" w:cs="宋体"/>
                <w:b/>
                <w:bCs/>
                <w:szCs w:val="21"/>
                <w:lang w:val="en-US" w:eastAsia="zh-CN"/>
              </w:rPr>
            </w:pPr>
            <w:r>
              <w:rPr>
                <w:rFonts w:hint="eastAsia" w:ascii="宋体" w:hAnsi="宋体" w:eastAsia="宋体" w:cs="宋体"/>
                <w:b/>
                <w:bCs/>
                <w:szCs w:val="21"/>
                <w:lang w:val="en-US" w:eastAsia="zh-CN"/>
              </w:rPr>
              <w:t>10</w:t>
            </w:r>
          </w:p>
        </w:tc>
        <w:tc>
          <w:tcPr>
            <w:tcW w:w="70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rPr>
                <w:rFonts w:ascii="宋体" w:hAnsi="宋体" w:eastAsia="宋体" w:cs="宋体"/>
                <w:szCs w:val="21"/>
              </w:rPr>
            </w:pPr>
            <w:r>
              <w:rPr>
                <w:rFonts w:hint="eastAsia" w:ascii="宋体" w:hAnsi="宋体" w:eastAsia="宋体" w:cs="宋体"/>
                <w:szCs w:val="21"/>
              </w:rPr>
              <w:t>【主观分】</w:t>
            </w:r>
          </w:p>
          <w:p>
            <w:pPr>
              <w:adjustRightInd w:val="0"/>
              <w:snapToGrid w:val="0"/>
              <w:spacing w:line="288" w:lineRule="auto"/>
              <w:rPr>
                <w:rFonts w:ascii="宋体" w:hAnsi="宋体" w:eastAsia="宋体" w:cs="宋体"/>
                <w:szCs w:val="21"/>
              </w:rPr>
            </w:pPr>
            <w:r>
              <w:rPr>
                <w:rFonts w:hint="eastAsia" w:ascii="宋体" w:hAnsi="宋体" w:eastAsia="宋体" w:cs="宋体"/>
                <w:szCs w:val="21"/>
              </w:rPr>
              <w:t>拟投入</w:t>
            </w:r>
            <w:r>
              <w:rPr>
                <w:rFonts w:hint="eastAsia" w:ascii="宋体" w:hAnsi="宋体" w:eastAsia="宋体" w:cs="宋体"/>
                <w:szCs w:val="21"/>
                <w:lang w:eastAsia="zh-CN"/>
              </w:rPr>
              <w:t>考场</w:t>
            </w:r>
            <w:r>
              <w:rPr>
                <w:rFonts w:hint="eastAsia" w:ascii="宋体" w:hAnsi="宋体" w:eastAsia="宋体" w:cs="宋体"/>
                <w:szCs w:val="21"/>
              </w:rPr>
              <w:t>人员情况，人员配备，人员职责分配等。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trPr>
        <w:tc>
          <w:tcPr>
            <w:tcW w:w="176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ascii="宋体" w:hAnsi="宋体" w:eastAsia="宋体" w:cs="宋体"/>
                <w:b/>
                <w:bCs/>
                <w:szCs w:val="21"/>
              </w:rPr>
            </w:pPr>
            <w:r>
              <w:rPr>
                <w:rFonts w:hint="eastAsia" w:ascii="宋体" w:hAnsi="宋体" w:eastAsia="宋体" w:cs="宋体"/>
                <w:b/>
                <w:bCs/>
                <w:szCs w:val="21"/>
              </w:rPr>
              <w:t>安全保密措施</w:t>
            </w:r>
          </w:p>
        </w:tc>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hint="default" w:ascii="宋体" w:hAnsi="宋体" w:eastAsia="宋体" w:cs="宋体"/>
                <w:b/>
                <w:bCs/>
                <w:szCs w:val="21"/>
                <w:lang w:val="en-US" w:eastAsia="zh-CN"/>
              </w:rPr>
            </w:pPr>
            <w:r>
              <w:rPr>
                <w:rFonts w:hint="eastAsia" w:ascii="宋体" w:hAnsi="宋体" w:eastAsia="宋体" w:cs="宋体"/>
                <w:b/>
                <w:bCs/>
                <w:szCs w:val="21"/>
                <w:lang w:val="en-US" w:eastAsia="zh-CN"/>
              </w:rPr>
              <w:t>10</w:t>
            </w:r>
          </w:p>
        </w:tc>
        <w:tc>
          <w:tcPr>
            <w:tcW w:w="70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rPr>
                <w:rFonts w:ascii="宋体" w:hAnsi="宋体" w:eastAsia="宋体" w:cs="宋体"/>
                <w:szCs w:val="21"/>
              </w:rPr>
            </w:pPr>
            <w:r>
              <w:rPr>
                <w:rFonts w:hint="eastAsia" w:ascii="宋体" w:hAnsi="宋体" w:eastAsia="宋体" w:cs="宋体"/>
                <w:szCs w:val="21"/>
              </w:rPr>
              <w:t>【主观分】</w:t>
            </w:r>
          </w:p>
          <w:p>
            <w:pPr>
              <w:adjustRightInd w:val="0"/>
              <w:snapToGrid w:val="0"/>
              <w:spacing w:line="288" w:lineRule="auto"/>
              <w:rPr>
                <w:rFonts w:ascii="宋体" w:hAnsi="宋体" w:eastAsia="宋体" w:cs="宋体"/>
                <w:b/>
                <w:bCs/>
                <w:szCs w:val="21"/>
              </w:rPr>
            </w:pPr>
            <w:r>
              <w:rPr>
                <w:rFonts w:hint="eastAsia" w:ascii="宋体" w:hAnsi="宋体" w:eastAsia="宋体" w:cs="宋体"/>
                <w:szCs w:val="21"/>
              </w:rPr>
              <w:t>针对本项目考前、考中、考后各环节安全保密措施，确保全程</w:t>
            </w:r>
            <w:r>
              <w:rPr>
                <w:rFonts w:hint="eastAsia" w:ascii="宋体" w:hAnsi="宋体" w:eastAsia="宋体" w:cs="宋体"/>
                <w:szCs w:val="21"/>
                <w:lang w:eastAsia="zh-CN"/>
              </w:rPr>
              <w:t>资料</w:t>
            </w:r>
            <w:r>
              <w:rPr>
                <w:rFonts w:hint="eastAsia" w:ascii="宋体" w:hAnsi="宋体" w:eastAsia="宋体" w:cs="宋体"/>
                <w:szCs w:val="21"/>
              </w:rPr>
              <w:t>不被泄露，达到各环节公平、公正。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trPr>
        <w:tc>
          <w:tcPr>
            <w:tcW w:w="176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ascii="宋体" w:hAnsi="宋体" w:eastAsia="宋体" w:cs="宋体"/>
                <w:b/>
                <w:bCs/>
                <w:szCs w:val="21"/>
              </w:rPr>
            </w:pPr>
          </w:p>
        </w:tc>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hint="default" w:ascii="宋体" w:hAnsi="宋体" w:eastAsia="宋体" w:cs="宋体"/>
                <w:b/>
                <w:bCs/>
                <w:szCs w:val="21"/>
                <w:lang w:val="en-US" w:eastAsia="zh-CN"/>
              </w:rPr>
            </w:pPr>
            <w:r>
              <w:rPr>
                <w:rFonts w:hint="eastAsia" w:ascii="宋体" w:hAnsi="宋体" w:eastAsia="宋体" w:cs="宋体"/>
                <w:b/>
                <w:bCs/>
                <w:szCs w:val="21"/>
                <w:lang w:val="en-US" w:eastAsia="zh-CN"/>
              </w:rPr>
              <w:t>6</w:t>
            </w:r>
          </w:p>
        </w:tc>
        <w:tc>
          <w:tcPr>
            <w:tcW w:w="70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rPr>
                <w:rFonts w:ascii="宋体" w:hAnsi="宋体" w:eastAsia="宋体" w:cs="宋体"/>
                <w:szCs w:val="21"/>
              </w:rPr>
            </w:pPr>
            <w:r>
              <w:rPr>
                <w:rFonts w:hint="eastAsia" w:ascii="宋体" w:hAnsi="宋体" w:eastAsia="宋体" w:cs="宋体"/>
                <w:szCs w:val="21"/>
              </w:rPr>
              <w:t>【主观分】</w:t>
            </w:r>
          </w:p>
          <w:p>
            <w:pPr>
              <w:adjustRightInd w:val="0"/>
              <w:snapToGrid w:val="0"/>
              <w:spacing w:line="288" w:lineRule="auto"/>
              <w:rPr>
                <w:rFonts w:ascii="宋体" w:hAnsi="宋体" w:eastAsia="宋体" w:cs="宋体"/>
                <w:b/>
                <w:bCs/>
                <w:szCs w:val="21"/>
              </w:rPr>
            </w:pPr>
            <w:r>
              <w:rPr>
                <w:rFonts w:hint="eastAsia" w:ascii="宋体" w:hAnsi="宋体" w:eastAsia="宋体" w:cs="宋体"/>
                <w:szCs w:val="21"/>
              </w:rPr>
              <w:t>拟提供的应急安全保密方案情况。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trPr>
        <w:tc>
          <w:tcPr>
            <w:tcW w:w="1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ascii="宋体" w:hAnsi="宋体" w:eastAsia="宋体" w:cs="宋体"/>
                <w:b/>
                <w:bCs/>
                <w:szCs w:val="21"/>
              </w:rPr>
            </w:pPr>
            <w:r>
              <w:rPr>
                <w:rFonts w:hint="eastAsia" w:ascii="宋体" w:hAnsi="宋体" w:eastAsia="宋体" w:cs="宋体"/>
                <w:b/>
                <w:bCs/>
                <w:szCs w:val="21"/>
              </w:rPr>
              <w:t>项目反馈方案</w:t>
            </w:r>
          </w:p>
        </w:tc>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hint="default" w:ascii="宋体" w:hAnsi="宋体" w:eastAsia="宋体" w:cs="宋体"/>
                <w:b/>
                <w:bCs/>
                <w:szCs w:val="21"/>
                <w:lang w:val="en-US" w:eastAsia="zh-CN"/>
              </w:rPr>
            </w:pPr>
            <w:r>
              <w:rPr>
                <w:rFonts w:hint="eastAsia" w:ascii="宋体" w:hAnsi="宋体" w:eastAsia="宋体" w:cs="宋体"/>
                <w:b/>
                <w:bCs/>
                <w:szCs w:val="21"/>
                <w:lang w:val="en-US" w:eastAsia="zh-CN"/>
              </w:rPr>
              <w:t>10</w:t>
            </w:r>
          </w:p>
        </w:tc>
        <w:tc>
          <w:tcPr>
            <w:tcW w:w="70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rPr>
                <w:rFonts w:ascii="宋体" w:hAnsi="宋体" w:eastAsia="宋体" w:cs="宋体"/>
                <w:szCs w:val="21"/>
              </w:rPr>
            </w:pPr>
            <w:r>
              <w:rPr>
                <w:rFonts w:hint="eastAsia" w:ascii="宋体" w:hAnsi="宋体" w:eastAsia="宋体" w:cs="宋体"/>
                <w:szCs w:val="21"/>
              </w:rPr>
              <w:t>【主观分】</w:t>
            </w:r>
          </w:p>
          <w:p>
            <w:pPr>
              <w:adjustRightInd w:val="0"/>
              <w:snapToGrid w:val="0"/>
              <w:spacing w:line="288" w:lineRule="auto"/>
              <w:rPr>
                <w:rFonts w:ascii="宋体" w:hAnsi="宋体" w:eastAsia="宋体" w:cs="宋体"/>
                <w:b/>
                <w:bCs/>
                <w:szCs w:val="21"/>
              </w:rPr>
            </w:pPr>
            <w:r>
              <w:rPr>
                <w:rFonts w:hint="eastAsia" w:ascii="宋体" w:hAnsi="宋体" w:eastAsia="宋体" w:cs="宋体"/>
                <w:szCs w:val="21"/>
              </w:rPr>
              <w:t>项目实施期间（考前、考中）反馈对接方案，信息是否可快速、有效传达、如遇问题可提供的有效解决方案。考后数据分析报告拟提交的时间，除所要求的内容分析外，提供其他内容，帮助采购人有效了解考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trPr>
        <w:tc>
          <w:tcPr>
            <w:tcW w:w="1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ascii="宋体" w:hAnsi="宋体" w:eastAsia="宋体" w:cs="宋体"/>
                <w:b/>
                <w:bCs/>
                <w:szCs w:val="21"/>
              </w:rPr>
            </w:pPr>
            <w:r>
              <w:rPr>
                <w:rFonts w:hint="eastAsia" w:ascii="宋体" w:hAnsi="宋体" w:eastAsia="宋体" w:cs="宋体"/>
                <w:b/>
                <w:bCs/>
                <w:szCs w:val="21"/>
              </w:rPr>
              <w:t>服务保障方案</w:t>
            </w:r>
          </w:p>
        </w:tc>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hint="eastAsia" w:ascii="宋体" w:hAnsi="宋体" w:eastAsia="宋体" w:cs="宋体"/>
                <w:b/>
                <w:bCs/>
                <w:szCs w:val="21"/>
                <w:lang w:eastAsia="zh-CN"/>
              </w:rPr>
            </w:pPr>
            <w:r>
              <w:rPr>
                <w:rFonts w:hint="eastAsia" w:ascii="宋体" w:hAnsi="宋体" w:eastAsia="宋体" w:cs="宋体"/>
                <w:b/>
                <w:bCs/>
                <w:szCs w:val="21"/>
                <w:lang w:val="en-US" w:eastAsia="zh-CN"/>
              </w:rPr>
              <w:t>5</w:t>
            </w:r>
          </w:p>
        </w:tc>
        <w:tc>
          <w:tcPr>
            <w:tcW w:w="70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rPr>
                <w:rFonts w:ascii="宋体" w:hAnsi="宋体" w:eastAsia="宋体" w:cs="宋体"/>
                <w:szCs w:val="21"/>
              </w:rPr>
            </w:pPr>
            <w:r>
              <w:rPr>
                <w:rFonts w:hint="eastAsia" w:ascii="宋体" w:hAnsi="宋体" w:eastAsia="宋体" w:cs="宋体"/>
                <w:szCs w:val="21"/>
              </w:rPr>
              <w:t>【主观分】</w:t>
            </w:r>
          </w:p>
          <w:p>
            <w:pPr>
              <w:adjustRightInd w:val="0"/>
              <w:snapToGrid w:val="0"/>
              <w:spacing w:line="288" w:lineRule="auto"/>
              <w:rPr>
                <w:rFonts w:ascii="宋体" w:hAnsi="宋体" w:eastAsia="宋体" w:cs="宋体"/>
                <w:b/>
                <w:bCs/>
                <w:szCs w:val="21"/>
              </w:rPr>
            </w:pPr>
            <w:r>
              <w:rPr>
                <w:rFonts w:hint="eastAsia" w:ascii="宋体" w:hAnsi="宋体" w:eastAsia="宋体" w:cs="宋体"/>
                <w:szCs w:val="21"/>
              </w:rPr>
              <w:t>投标人针对项目顺利进行的保障方案，包括但不限于人员、技术、硬件等方案。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trPr>
        <w:tc>
          <w:tcPr>
            <w:tcW w:w="1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ascii="宋体" w:hAnsi="宋体" w:eastAsia="宋体" w:cs="宋体"/>
                <w:b/>
                <w:bCs/>
                <w:szCs w:val="21"/>
              </w:rPr>
            </w:pPr>
            <w:r>
              <w:rPr>
                <w:rFonts w:hint="eastAsia" w:ascii="宋体" w:hAnsi="宋体" w:eastAsia="宋体" w:cs="宋体"/>
                <w:b/>
                <w:bCs/>
                <w:szCs w:val="21"/>
              </w:rPr>
              <w:t>应急预案</w:t>
            </w:r>
          </w:p>
        </w:tc>
        <w:tc>
          <w:tcPr>
            <w:tcW w:w="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hint="eastAsia" w:ascii="宋体" w:hAnsi="宋体" w:eastAsia="宋体" w:cs="宋体"/>
                <w:b/>
                <w:bCs/>
                <w:szCs w:val="21"/>
                <w:lang w:eastAsia="zh-CN"/>
              </w:rPr>
            </w:pPr>
            <w:r>
              <w:rPr>
                <w:rFonts w:hint="eastAsia" w:ascii="宋体" w:hAnsi="宋体" w:eastAsia="宋体" w:cs="宋体"/>
                <w:b/>
                <w:bCs/>
                <w:szCs w:val="21"/>
                <w:lang w:val="en-US" w:eastAsia="zh-CN"/>
              </w:rPr>
              <w:t>5</w:t>
            </w:r>
          </w:p>
        </w:tc>
        <w:tc>
          <w:tcPr>
            <w:tcW w:w="70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rPr>
                <w:rFonts w:ascii="宋体" w:hAnsi="宋体" w:eastAsia="宋体" w:cs="宋体"/>
                <w:szCs w:val="21"/>
              </w:rPr>
            </w:pPr>
            <w:r>
              <w:rPr>
                <w:rFonts w:hint="eastAsia" w:ascii="宋体" w:hAnsi="宋体" w:eastAsia="宋体" w:cs="宋体"/>
                <w:szCs w:val="21"/>
              </w:rPr>
              <w:t>【主观分】</w:t>
            </w:r>
          </w:p>
          <w:p>
            <w:pPr>
              <w:adjustRightInd w:val="0"/>
              <w:snapToGrid w:val="0"/>
              <w:spacing w:line="288" w:lineRule="auto"/>
              <w:rPr>
                <w:rFonts w:ascii="宋体" w:hAnsi="宋体" w:eastAsia="宋体" w:cs="宋体"/>
                <w:b/>
                <w:bCs/>
                <w:szCs w:val="21"/>
              </w:rPr>
            </w:pPr>
            <w:r>
              <w:rPr>
                <w:rFonts w:hint="eastAsia" w:ascii="宋体" w:hAnsi="宋体" w:eastAsia="宋体" w:cs="宋体"/>
                <w:szCs w:val="21"/>
              </w:rPr>
              <w:t>投标人针对不可预见、突发情况所制定的方案情况，包括但不限于考试延期、疫情防控等内容。</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YjFkYjQwYjZiMzQ2ZWYzMDM1ZTliZGM3ZmU5MWYifQ=="/>
  </w:docVars>
  <w:rsids>
    <w:rsidRoot w:val="6B644EC8"/>
    <w:rsid w:val="6B644E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浙江省残疾人联合会</Company>
  <Pages>1</Pages>
  <Words>0</Words>
  <Characters>0</Characters>
  <Lines>0</Lines>
  <Paragraphs>0</Paragraphs>
  <TotalTime>7</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2022-11-25T00:55:00Z</dcterms:created>
  <dc:creator>Gypsophila</dc:creator>
  <cp:lastModifiedBy>Gypsophila</cp:lastModifiedBy>
  <dcterms:modified xsi:type="dcterms:W3CDTF">2022-11-25T01:02:57Z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DC4F495A6E7340CFBA9DC78EC91FA6C1</vt:lpwstr>
  </property>
</Properties>
</file>