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CB008" w14:textId="49C2FF1A" w:rsidR="005C18CB" w:rsidRDefault="00BD6E32">
      <w:pPr>
        <w:pStyle w:val="a5"/>
        <w:snapToGrid w:val="0"/>
        <w:spacing w:before="120" w:after="120" w:line="460" w:lineRule="exact"/>
        <w:ind w:firstLineChars="147" w:firstLine="649"/>
        <w:jc w:val="center"/>
        <w:rPr>
          <w:rFonts w:ascii="仿宋_GB2312" w:eastAsia="仿宋_GB2312" w:hAnsi="仿宋_GB2312" w:cs="仿宋_GB2312"/>
          <w:kern w:val="0"/>
          <w:sz w:val="28"/>
          <w:szCs w:val="28"/>
        </w:rPr>
      </w:pPr>
      <w:bookmarkStart w:id="0" w:name="_Toc279100292"/>
      <w:bookmarkStart w:id="1" w:name="_Toc250980622"/>
      <w:bookmarkStart w:id="2" w:name="_Toc321732144"/>
      <w:bookmarkStart w:id="3" w:name="_Toc82873318"/>
      <w:bookmarkStart w:id="4" w:name="_Toc82338235"/>
      <w:r>
        <w:rPr>
          <w:rFonts w:ascii="仿宋_GB2312" w:eastAsia="仿宋_GB2312" w:hAnsi="仿宋_GB2312" w:cs="仿宋_GB2312" w:hint="eastAsia"/>
          <w:b/>
          <w:sz w:val="44"/>
          <w:szCs w:val="44"/>
        </w:rPr>
        <w:t>机械车库招标需求</w:t>
      </w:r>
      <w:bookmarkEnd w:id="0"/>
      <w:bookmarkEnd w:id="1"/>
      <w:bookmarkEnd w:id="2"/>
      <w:bookmarkEnd w:id="3"/>
      <w:bookmarkEnd w:id="4"/>
    </w:p>
    <w:p w14:paraId="70FA14F2" w14:textId="7CFCB76D" w:rsidR="005C18CB" w:rsidRDefault="00F40D6A">
      <w:pPr>
        <w:spacing w:line="360" w:lineRule="auto"/>
        <w:jc w:val="left"/>
        <w:rPr>
          <w:rFonts w:ascii="仿宋_GB2312" w:eastAsia="仿宋_GB2312" w:hAnsi="仿宋_GB2312" w:cs="仿宋_GB2312"/>
          <w:b/>
          <w:bCs/>
          <w:kern w:val="0"/>
          <w:sz w:val="28"/>
          <w:szCs w:val="28"/>
        </w:rPr>
      </w:pPr>
      <w:r>
        <w:rPr>
          <w:rFonts w:ascii="仿宋_GB2312" w:eastAsia="仿宋_GB2312" w:hAnsi="仿宋_GB2312" w:cs="仿宋_GB2312" w:hint="eastAsia"/>
          <w:b/>
          <w:bCs/>
          <w:kern w:val="0"/>
          <w:sz w:val="28"/>
          <w:szCs w:val="28"/>
        </w:rPr>
        <w:t>一、费用预算：</w:t>
      </w:r>
      <w:r w:rsidR="00BD6E32">
        <w:rPr>
          <w:rFonts w:ascii="仿宋_GB2312" w:eastAsia="仿宋_GB2312" w:hAnsi="仿宋_GB2312" w:cs="仿宋_GB2312"/>
          <w:b/>
          <w:bCs/>
          <w:kern w:val="0"/>
          <w:sz w:val="28"/>
          <w:szCs w:val="28"/>
        </w:rPr>
        <w:t>10</w:t>
      </w:r>
      <w:r>
        <w:rPr>
          <w:rFonts w:ascii="仿宋_GB2312" w:eastAsia="仿宋_GB2312" w:hAnsi="仿宋_GB2312" w:cs="仿宋_GB2312" w:hint="eastAsia"/>
          <w:b/>
          <w:bCs/>
          <w:kern w:val="0"/>
          <w:sz w:val="28"/>
          <w:szCs w:val="28"/>
        </w:rPr>
        <w:t>万/2年</w:t>
      </w:r>
      <w:r w:rsidR="00E37E64">
        <w:rPr>
          <w:rFonts w:ascii="仿宋_GB2312" w:eastAsia="仿宋_GB2312" w:hAnsi="仿宋_GB2312" w:cs="仿宋_GB2312" w:hint="eastAsia"/>
          <w:b/>
          <w:bCs/>
          <w:kern w:val="0"/>
          <w:sz w:val="28"/>
          <w:szCs w:val="28"/>
        </w:rPr>
        <w:t xml:space="preserve"> </w:t>
      </w:r>
    </w:p>
    <w:tbl>
      <w:tblPr>
        <w:tblW w:w="9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3"/>
        <w:gridCol w:w="851"/>
        <w:gridCol w:w="1134"/>
        <w:gridCol w:w="1701"/>
        <w:gridCol w:w="3959"/>
      </w:tblGrid>
      <w:tr w:rsidR="005C18CB" w14:paraId="26A23029" w14:textId="77777777" w:rsidTr="005611F7">
        <w:trPr>
          <w:trHeight w:val="173"/>
          <w:jc w:val="center"/>
        </w:trPr>
        <w:tc>
          <w:tcPr>
            <w:tcW w:w="1443" w:type="dxa"/>
            <w:vAlign w:val="center"/>
          </w:tcPr>
          <w:p w14:paraId="45027349" w14:textId="77777777" w:rsidR="005C18CB" w:rsidRDefault="00F40D6A">
            <w:pPr>
              <w:pStyle w:val="Style1"/>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名称</w:t>
            </w:r>
          </w:p>
        </w:tc>
        <w:tc>
          <w:tcPr>
            <w:tcW w:w="851" w:type="dxa"/>
            <w:vAlign w:val="center"/>
          </w:tcPr>
          <w:p w14:paraId="0A0D9C9A" w14:textId="77777777" w:rsidR="005C18CB" w:rsidRDefault="00F40D6A">
            <w:pPr>
              <w:pStyle w:val="Style1"/>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数量</w:t>
            </w:r>
          </w:p>
        </w:tc>
        <w:tc>
          <w:tcPr>
            <w:tcW w:w="1134" w:type="dxa"/>
            <w:vAlign w:val="center"/>
          </w:tcPr>
          <w:p w14:paraId="473D74B2" w14:textId="77777777" w:rsidR="005C18CB" w:rsidRDefault="00F40D6A">
            <w:pPr>
              <w:pStyle w:val="Style1"/>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单位</w:t>
            </w:r>
          </w:p>
        </w:tc>
        <w:tc>
          <w:tcPr>
            <w:tcW w:w="1701" w:type="dxa"/>
            <w:vAlign w:val="center"/>
          </w:tcPr>
          <w:p w14:paraId="1BB2A5B6" w14:textId="77777777" w:rsidR="005C18CB" w:rsidRDefault="00F40D6A">
            <w:pPr>
              <w:pStyle w:val="Style1"/>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预算金额</w:t>
            </w:r>
          </w:p>
        </w:tc>
        <w:tc>
          <w:tcPr>
            <w:tcW w:w="3959" w:type="dxa"/>
            <w:vAlign w:val="center"/>
          </w:tcPr>
          <w:p w14:paraId="2F8BF0D0" w14:textId="77777777" w:rsidR="005C18CB" w:rsidRDefault="00F40D6A">
            <w:pPr>
              <w:pStyle w:val="Style1"/>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简要规格描述</w:t>
            </w:r>
          </w:p>
        </w:tc>
      </w:tr>
      <w:tr w:rsidR="005C18CB" w14:paraId="3FF00F3D" w14:textId="77777777" w:rsidTr="005611F7">
        <w:trPr>
          <w:trHeight w:val="253"/>
          <w:jc w:val="center"/>
        </w:trPr>
        <w:tc>
          <w:tcPr>
            <w:tcW w:w="1443" w:type="dxa"/>
            <w:vAlign w:val="center"/>
          </w:tcPr>
          <w:p w14:paraId="20359167" w14:textId="532CA3A9" w:rsidR="005C18CB" w:rsidRDefault="005611F7">
            <w:pPr>
              <w:pStyle w:val="Style1"/>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机械式停车</w:t>
            </w:r>
            <w:r>
              <w:rPr>
                <w:rFonts w:ascii="仿宋_GB2312" w:eastAsia="仿宋_GB2312" w:hAnsi="仿宋_GB2312" w:cs="仿宋_GB2312"/>
                <w:sz w:val="28"/>
                <w:szCs w:val="28"/>
              </w:rPr>
              <w:t>设备</w:t>
            </w:r>
          </w:p>
        </w:tc>
        <w:tc>
          <w:tcPr>
            <w:tcW w:w="851" w:type="dxa"/>
            <w:vAlign w:val="center"/>
          </w:tcPr>
          <w:p w14:paraId="4217D06B" w14:textId="1D47D310" w:rsidR="005C18CB" w:rsidRDefault="005611F7">
            <w:pPr>
              <w:pStyle w:val="Style1"/>
              <w:jc w:val="left"/>
              <w:rPr>
                <w:rFonts w:ascii="仿宋_GB2312" w:eastAsia="仿宋_GB2312" w:hAnsi="仿宋_GB2312" w:cs="仿宋_GB2312"/>
                <w:sz w:val="28"/>
                <w:szCs w:val="28"/>
              </w:rPr>
            </w:pPr>
            <w:r>
              <w:rPr>
                <w:rFonts w:ascii="仿宋_GB2312" w:eastAsia="仿宋_GB2312" w:hAnsi="仿宋_GB2312" w:cs="仿宋_GB2312"/>
                <w:sz w:val="28"/>
                <w:szCs w:val="28"/>
              </w:rPr>
              <w:t>155</w:t>
            </w:r>
          </w:p>
        </w:tc>
        <w:tc>
          <w:tcPr>
            <w:tcW w:w="1134" w:type="dxa"/>
            <w:vAlign w:val="center"/>
          </w:tcPr>
          <w:p w14:paraId="26A374F6" w14:textId="024E2228" w:rsidR="005C18CB" w:rsidRDefault="005611F7">
            <w:pPr>
              <w:pStyle w:val="Style1"/>
              <w:jc w:val="left"/>
              <w:rPr>
                <w:rFonts w:ascii="仿宋_GB2312" w:eastAsia="仿宋_GB2312" w:hAnsi="仿宋_GB2312" w:cs="仿宋_GB2312"/>
                <w:sz w:val="28"/>
                <w:szCs w:val="28"/>
              </w:rPr>
            </w:pPr>
            <w:r>
              <w:rPr>
                <w:rFonts w:ascii="仿宋_GB2312" w:eastAsia="仿宋_GB2312" w:hAnsi="仿宋_GB2312" w:cs="仿宋_GB2312"/>
                <w:sz w:val="28"/>
                <w:szCs w:val="28"/>
              </w:rPr>
              <w:t>2</w:t>
            </w:r>
            <w:r>
              <w:rPr>
                <w:rFonts w:ascii="仿宋_GB2312" w:eastAsia="仿宋_GB2312" w:hAnsi="仿宋_GB2312" w:cs="仿宋_GB2312" w:hint="eastAsia"/>
                <w:sz w:val="28"/>
                <w:szCs w:val="28"/>
              </w:rPr>
              <w:t>年</w:t>
            </w:r>
          </w:p>
        </w:tc>
        <w:tc>
          <w:tcPr>
            <w:tcW w:w="1701" w:type="dxa"/>
            <w:vAlign w:val="center"/>
          </w:tcPr>
          <w:p w14:paraId="67CABDE8" w14:textId="00CF88AE" w:rsidR="005C18CB" w:rsidRDefault="00BD6E32">
            <w:pPr>
              <w:pStyle w:val="Style1"/>
              <w:jc w:val="left"/>
              <w:rPr>
                <w:rFonts w:ascii="仿宋_GB2312" w:eastAsia="仿宋_GB2312" w:hAnsi="仿宋_GB2312" w:cs="仿宋_GB2312"/>
                <w:sz w:val="28"/>
                <w:szCs w:val="28"/>
              </w:rPr>
            </w:pPr>
            <w:r>
              <w:rPr>
                <w:rFonts w:ascii="仿宋_GB2312" w:eastAsia="仿宋_GB2312" w:hAnsi="仿宋_GB2312" w:cs="仿宋_GB2312"/>
                <w:sz w:val="28"/>
                <w:szCs w:val="28"/>
              </w:rPr>
              <w:t>10</w:t>
            </w:r>
            <w:r w:rsidR="00F40D6A">
              <w:rPr>
                <w:rFonts w:ascii="仿宋_GB2312" w:eastAsia="仿宋_GB2312" w:hAnsi="仿宋_GB2312" w:cs="仿宋_GB2312" w:hint="eastAsia"/>
                <w:sz w:val="28"/>
                <w:szCs w:val="28"/>
              </w:rPr>
              <w:t>万元</w:t>
            </w:r>
          </w:p>
        </w:tc>
        <w:tc>
          <w:tcPr>
            <w:tcW w:w="3959" w:type="dxa"/>
            <w:vAlign w:val="center"/>
          </w:tcPr>
          <w:p w14:paraId="67E4647D" w14:textId="7D264837" w:rsidR="005C18CB" w:rsidRDefault="00F40D6A" w:rsidP="005611F7">
            <w:pPr>
              <w:pStyle w:val="Style1"/>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全院区域内</w:t>
            </w:r>
            <w:r w:rsidR="005611F7">
              <w:rPr>
                <w:rFonts w:ascii="仿宋_GB2312" w:eastAsia="仿宋_GB2312" w:hAnsi="仿宋_GB2312" w:cs="仿宋_GB2312" w:hint="eastAsia"/>
                <w:sz w:val="28"/>
                <w:szCs w:val="28"/>
              </w:rPr>
              <w:t>1</w:t>
            </w:r>
            <w:r w:rsidR="005611F7">
              <w:rPr>
                <w:rFonts w:ascii="仿宋_GB2312" w:eastAsia="仿宋_GB2312" w:hAnsi="仿宋_GB2312" w:cs="仿宋_GB2312"/>
                <w:sz w:val="28"/>
                <w:szCs w:val="28"/>
              </w:rPr>
              <w:t>55</w:t>
            </w:r>
            <w:r w:rsidR="005611F7">
              <w:rPr>
                <w:rFonts w:ascii="仿宋_GB2312" w:eastAsia="仿宋_GB2312" w:hAnsi="仿宋_GB2312" w:cs="仿宋_GB2312" w:hint="eastAsia"/>
                <w:sz w:val="28"/>
                <w:szCs w:val="28"/>
              </w:rPr>
              <w:t>个机械式</w:t>
            </w:r>
            <w:r w:rsidR="005611F7">
              <w:rPr>
                <w:rFonts w:ascii="仿宋_GB2312" w:eastAsia="仿宋_GB2312" w:hAnsi="仿宋_GB2312" w:cs="仿宋_GB2312"/>
                <w:sz w:val="28"/>
                <w:szCs w:val="28"/>
              </w:rPr>
              <w:t>停车设备维护保养</w:t>
            </w:r>
          </w:p>
        </w:tc>
      </w:tr>
    </w:tbl>
    <w:p w14:paraId="0B9F5554" w14:textId="4D2082B0" w:rsidR="00E37E64" w:rsidRDefault="00E37E64">
      <w:pPr>
        <w:jc w:val="left"/>
        <w:rPr>
          <w:rFonts w:ascii="仿宋_GB2312" w:eastAsia="仿宋_GB2312" w:hAnsi="仿宋_GB2312" w:cs="仿宋_GB2312"/>
          <w:b/>
          <w:bCs/>
          <w:kern w:val="0"/>
          <w:sz w:val="28"/>
          <w:szCs w:val="28"/>
        </w:rPr>
      </w:pPr>
      <w:r>
        <w:rPr>
          <w:rFonts w:ascii="仿宋_GB2312" w:eastAsia="仿宋_GB2312" w:hAnsi="仿宋_GB2312" w:cs="仿宋_GB2312" w:hint="eastAsia"/>
          <w:b/>
          <w:bCs/>
          <w:kern w:val="0"/>
          <w:sz w:val="28"/>
          <w:szCs w:val="28"/>
        </w:rPr>
        <w:t>资质要求：</w:t>
      </w:r>
      <w:r w:rsidRPr="00E37E64">
        <w:rPr>
          <w:rFonts w:ascii="仿宋_GB2312" w:eastAsia="仿宋_GB2312" w:hAnsi="仿宋_GB2312" w:cs="仿宋_GB2312" w:hint="eastAsia"/>
          <w:b/>
          <w:bCs/>
          <w:kern w:val="0"/>
          <w:sz w:val="28"/>
          <w:szCs w:val="28"/>
        </w:rPr>
        <w:t>中华人民共和国特种设备安装改造维修许可证</w:t>
      </w:r>
    </w:p>
    <w:p w14:paraId="77856C5A" w14:textId="0615C125" w:rsidR="005C18CB" w:rsidRDefault="005611F7">
      <w:pPr>
        <w:jc w:val="left"/>
        <w:rPr>
          <w:rFonts w:ascii="仿宋_GB2312" w:eastAsia="仿宋_GB2312" w:hAnsi="仿宋_GB2312" w:cs="仿宋_GB2312"/>
          <w:b/>
          <w:bCs/>
          <w:kern w:val="0"/>
          <w:sz w:val="28"/>
          <w:szCs w:val="28"/>
        </w:rPr>
      </w:pPr>
      <w:r>
        <w:rPr>
          <w:rFonts w:ascii="仿宋_GB2312" w:eastAsia="仿宋_GB2312" w:hAnsi="仿宋_GB2312" w:cs="仿宋_GB2312" w:hint="eastAsia"/>
          <w:b/>
          <w:bCs/>
          <w:kern w:val="0"/>
          <w:sz w:val="28"/>
          <w:szCs w:val="28"/>
        </w:rPr>
        <w:t>二、维保</w:t>
      </w:r>
      <w:r w:rsidR="00F40D6A">
        <w:rPr>
          <w:rFonts w:ascii="仿宋_GB2312" w:eastAsia="仿宋_GB2312" w:hAnsi="仿宋_GB2312" w:cs="仿宋_GB2312" w:hint="eastAsia"/>
          <w:b/>
          <w:bCs/>
          <w:kern w:val="0"/>
          <w:sz w:val="28"/>
          <w:szCs w:val="28"/>
        </w:rPr>
        <w:t>内容及质量标准：</w:t>
      </w:r>
    </w:p>
    <w:p w14:paraId="4BF9A0A7" w14:textId="56ABE1B4" w:rsidR="005C18CB" w:rsidRPr="005611F7" w:rsidRDefault="00F40D6A" w:rsidP="005611F7">
      <w:pPr>
        <w:pStyle w:val="1"/>
        <w:ind w:firstLineChars="0" w:firstLine="0"/>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 1、</w:t>
      </w:r>
      <w:r>
        <w:rPr>
          <w:rFonts w:ascii="仿宋_GB2312" w:eastAsia="仿宋_GB2312" w:hAnsi="仿宋_GB2312" w:cs="仿宋_GB2312" w:hint="eastAsia"/>
          <w:b/>
          <w:bCs/>
          <w:sz w:val="28"/>
          <w:szCs w:val="28"/>
        </w:rPr>
        <w:t>服务质量标准：</w:t>
      </w:r>
    </w:p>
    <w:p w14:paraId="1203C529"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1、保证立体停车设备安全运行。</w:t>
      </w:r>
    </w:p>
    <w:p w14:paraId="35AF67DF"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2、在保证立体停车设备安全运行的前提下满足正常生产的需要。</w:t>
      </w:r>
    </w:p>
    <w:p w14:paraId="2530B5C6"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3、在保证立体停车设备安全运行的前提下降低立体停车设备维护保养成本。</w:t>
      </w:r>
    </w:p>
    <w:p w14:paraId="58BA25A6"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sz w:val="24"/>
        </w:rPr>
        <w:t>8</w:t>
      </w:r>
      <w:r w:rsidRPr="00D46863">
        <w:rPr>
          <w:rFonts w:ascii="宋体" w:hAnsi="宋体" w:hint="eastAsia"/>
          <w:sz w:val="24"/>
        </w:rPr>
        <w:t>、更换的配件必须为原厂正品，因在维修过程中引起的其他配件损坏由投标人负责。</w:t>
      </w:r>
    </w:p>
    <w:p w14:paraId="78433E66"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sz w:val="24"/>
        </w:rPr>
        <w:t>9</w:t>
      </w:r>
      <w:r w:rsidRPr="00D46863">
        <w:rPr>
          <w:rFonts w:ascii="宋体" w:hAnsi="宋体" w:hint="eastAsia"/>
          <w:sz w:val="24"/>
        </w:rPr>
        <w:t>、投标人不得擅自更改原有立体停车设备的功能及配置。</w:t>
      </w:r>
    </w:p>
    <w:p w14:paraId="46BDBAE0"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sz w:val="24"/>
        </w:rPr>
        <w:t>10</w:t>
      </w:r>
      <w:r w:rsidRPr="00D46863">
        <w:rPr>
          <w:rFonts w:ascii="宋体" w:hAnsi="宋体" w:hint="eastAsia"/>
          <w:sz w:val="24"/>
        </w:rPr>
        <w:t>、对更换下来的电子器件应由采购人保管或由采购人与维保单位共同销毁。</w:t>
      </w:r>
    </w:p>
    <w:p w14:paraId="77B70BE6"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sz w:val="24"/>
        </w:rPr>
        <w:t>11</w:t>
      </w:r>
      <w:r w:rsidRPr="00D46863">
        <w:rPr>
          <w:rFonts w:ascii="宋体" w:hAnsi="宋体" w:hint="eastAsia"/>
          <w:sz w:val="24"/>
        </w:rPr>
        <w:t>、在日常维护保养期届满时，须经法定定期检验并无因维护保养原因的不合格项目存在。</w:t>
      </w:r>
    </w:p>
    <w:p w14:paraId="44505F4E"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sz w:val="24"/>
        </w:rPr>
        <w:t>12</w:t>
      </w:r>
      <w:r w:rsidRPr="00D46863">
        <w:rPr>
          <w:rFonts w:ascii="宋体" w:hAnsi="宋体" w:hint="eastAsia"/>
          <w:sz w:val="24"/>
        </w:rPr>
        <w:t>、如因使用不当造成立体停车设备故障或损坏，中标单位有责任负责及时将其修复或更换，使立体停车设备恢复安全、正常运行，费用双方另行协商确定。</w:t>
      </w:r>
    </w:p>
    <w:p w14:paraId="3122FC34" w14:textId="2C3A5FEA" w:rsidR="005C18CB" w:rsidRDefault="00F40D6A" w:rsidP="005611F7">
      <w:pPr>
        <w:pStyle w:val="1"/>
        <w:ind w:firstLineChars="0" w:firstLine="0"/>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t>2、服务质量标准：</w:t>
      </w:r>
    </w:p>
    <w:p w14:paraId="01AC5A04"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1、</w:t>
      </w:r>
      <w:r w:rsidRPr="00D46863">
        <w:rPr>
          <w:rFonts w:ascii="宋体" w:hAnsi="宋体"/>
          <w:sz w:val="24"/>
        </w:rPr>
        <w:t>立体停车设备使用管理与维修保养规则</w:t>
      </w:r>
    </w:p>
    <w:p w14:paraId="4C05F929"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2、浙江省立体停车设备维修保养安全管理规范</w:t>
      </w:r>
    </w:p>
    <w:p w14:paraId="1C346C19"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3、立体停车设备维修规范</w:t>
      </w:r>
    </w:p>
    <w:p w14:paraId="2223A92A"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4、立体停车设备安装使用维护说明书</w:t>
      </w:r>
    </w:p>
    <w:p w14:paraId="4D1D7EEF"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5、维保合同</w:t>
      </w:r>
    </w:p>
    <w:p w14:paraId="259861FD" w14:textId="5DCC1D52" w:rsidR="005611F7" w:rsidRDefault="00F40D6A" w:rsidP="005611F7">
      <w:pPr>
        <w:snapToGrid w:val="0"/>
        <w:spacing w:line="360" w:lineRule="auto"/>
        <w:ind w:firstLineChars="150" w:firstLine="422"/>
        <w:jc w:val="left"/>
        <w:rPr>
          <w:rFonts w:ascii="仿宋_GB2312" w:eastAsia="仿宋_GB2312" w:hAnsi="仿宋_GB2312" w:cs="仿宋_GB2312"/>
          <w:b/>
          <w:sz w:val="28"/>
          <w:szCs w:val="28"/>
        </w:rPr>
      </w:pPr>
      <w:r>
        <w:rPr>
          <w:rFonts w:ascii="仿宋_GB2312" w:eastAsia="仿宋_GB2312" w:hAnsi="仿宋_GB2312" w:cs="仿宋_GB2312" w:hint="eastAsia"/>
          <w:b/>
          <w:sz w:val="28"/>
          <w:szCs w:val="28"/>
        </w:rPr>
        <w:t>3、</w:t>
      </w:r>
      <w:r w:rsidR="005611F7">
        <w:rPr>
          <w:rFonts w:ascii="仿宋_GB2312" w:eastAsia="仿宋_GB2312" w:hAnsi="仿宋_GB2312" w:cs="仿宋_GB2312" w:hint="eastAsia"/>
          <w:b/>
          <w:sz w:val="28"/>
          <w:szCs w:val="28"/>
        </w:rPr>
        <w:t>检验</w:t>
      </w:r>
      <w:r w:rsidR="005611F7">
        <w:rPr>
          <w:rFonts w:ascii="仿宋_GB2312" w:eastAsia="仿宋_GB2312" w:hAnsi="仿宋_GB2312" w:cs="仿宋_GB2312"/>
          <w:b/>
          <w:sz w:val="28"/>
          <w:szCs w:val="28"/>
        </w:rPr>
        <w:t>标准</w:t>
      </w:r>
    </w:p>
    <w:p w14:paraId="3BD8BD6A" w14:textId="20B046C9"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lastRenderedPageBreak/>
        <w:t>1、立体停车设备监督检验和定期检验规则</w:t>
      </w:r>
    </w:p>
    <w:p w14:paraId="04E766B3"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2、自动扶梯与自动人行道监督检验规程</w:t>
      </w:r>
    </w:p>
    <w:p w14:paraId="3C5B96AD" w14:textId="77777777" w:rsidR="005611F7" w:rsidRPr="00D46863" w:rsidRDefault="005611F7" w:rsidP="005611F7">
      <w:pPr>
        <w:snapToGrid w:val="0"/>
        <w:spacing w:line="360" w:lineRule="auto"/>
        <w:ind w:firstLineChars="150" w:firstLine="360"/>
        <w:jc w:val="left"/>
        <w:rPr>
          <w:rFonts w:ascii="宋体" w:hAnsi="宋体"/>
          <w:sz w:val="24"/>
        </w:rPr>
      </w:pPr>
      <w:r w:rsidRPr="00D46863">
        <w:rPr>
          <w:rFonts w:ascii="宋体" w:hAnsi="宋体" w:hint="eastAsia"/>
          <w:sz w:val="24"/>
        </w:rPr>
        <w:t>以上规章、标准不论有无年代号，除有特别说明的以外，均以最新有效版本为准。</w:t>
      </w:r>
    </w:p>
    <w:p w14:paraId="40D4361B" w14:textId="2AF0A6BC" w:rsidR="005C18CB" w:rsidRDefault="00F40D6A">
      <w:pPr>
        <w:tabs>
          <w:tab w:val="left" w:pos="3780"/>
        </w:tabs>
        <w:jc w:val="left"/>
        <w:rPr>
          <w:rFonts w:ascii="仿宋_GB2312" w:eastAsia="仿宋_GB2312" w:hAnsi="仿宋_GB2312" w:cs="仿宋_GB2312"/>
          <w:sz w:val="28"/>
          <w:szCs w:val="28"/>
        </w:rPr>
      </w:pPr>
      <w:r>
        <w:rPr>
          <w:rFonts w:ascii="仿宋_GB2312" w:eastAsia="仿宋_GB2312" w:hAnsi="仿宋_GB2312" w:cs="仿宋_GB2312" w:hint="eastAsia"/>
          <w:b/>
          <w:bCs/>
          <w:sz w:val="28"/>
          <w:szCs w:val="28"/>
        </w:rPr>
        <w:t>三</w:t>
      </w:r>
      <w:r>
        <w:rPr>
          <w:rFonts w:ascii="仿宋_GB2312" w:eastAsia="仿宋_GB2312" w:hAnsi="仿宋_GB2312" w:cs="仿宋_GB2312" w:hint="eastAsia"/>
          <w:sz w:val="28"/>
          <w:szCs w:val="28"/>
        </w:rPr>
        <w:t>、</w:t>
      </w:r>
      <w:r>
        <w:rPr>
          <w:rFonts w:ascii="仿宋_GB2312" w:eastAsia="仿宋_GB2312" w:hAnsi="仿宋_GB2312" w:cs="仿宋_GB2312" w:hint="eastAsia"/>
          <w:b/>
          <w:bCs/>
          <w:sz w:val="28"/>
          <w:szCs w:val="28"/>
        </w:rPr>
        <w:t>人员配备要求：</w:t>
      </w:r>
      <w:r w:rsidR="00E30E77">
        <w:rPr>
          <w:rFonts w:ascii="仿宋_GB2312" w:eastAsia="仿宋_GB2312" w:hAnsi="仿宋_GB2312" w:cs="仿宋_GB2312"/>
          <w:sz w:val="28"/>
          <w:szCs w:val="28"/>
        </w:rPr>
        <w:t xml:space="preserve"> </w:t>
      </w:r>
    </w:p>
    <w:p w14:paraId="4EF426C7" w14:textId="654F49BE" w:rsidR="005C18CB" w:rsidRDefault="00F40D6A" w:rsidP="00336221">
      <w:pPr>
        <w:tabs>
          <w:tab w:val="left" w:pos="3780"/>
        </w:tabs>
        <w:ind w:firstLineChars="100" w:firstLine="28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1、具备相应的专业技能，身体健康，工作认真负责并定期接受培训。</w:t>
      </w:r>
      <w:r w:rsidR="00336221">
        <w:rPr>
          <w:rFonts w:ascii="仿宋_GB2312" w:eastAsia="仿宋_GB2312" w:hAnsi="仿宋_GB2312" w:cs="仿宋_GB2312"/>
          <w:sz w:val="28"/>
          <w:szCs w:val="28"/>
        </w:rPr>
        <w:t xml:space="preserve"> </w:t>
      </w:r>
    </w:p>
    <w:p w14:paraId="0780805B" w14:textId="29F48341" w:rsidR="005C18CB" w:rsidRDefault="00336221">
      <w:pPr>
        <w:tabs>
          <w:tab w:val="left" w:pos="3780"/>
        </w:tabs>
        <w:ind w:firstLineChars="100" w:firstLine="280"/>
        <w:jc w:val="left"/>
        <w:rPr>
          <w:rFonts w:ascii="仿宋_GB2312" w:eastAsia="仿宋_GB2312" w:hAnsi="仿宋_GB2312" w:cs="仿宋_GB2312"/>
          <w:sz w:val="28"/>
          <w:szCs w:val="28"/>
        </w:rPr>
      </w:pPr>
      <w:r>
        <w:rPr>
          <w:rFonts w:ascii="仿宋_GB2312" w:eastAsia="仿宋_GB2312" w:hAnsi="仿宋_GB2312" w:cs="仿宋_GB2312"/>
          <w:sz w:val="28"/>
          <w:szCs w:val="28"/>
        </w:rPr>
        <w:t>2</w:t>
      </w:r>
      <w:r w:rsidR="00F40D6A">
        <w:rPr>
          <w:rFonts w:ascii="仿宋_GB2312" w:eastAsia="仿宋_GB2312" w:hAnsi="仿宋_GB2312" w:cs="仿宋_GB2312" w:hint="eastAsia"/>
          <w:sz w:val="28"/>
          <w:szCs w:val="28"/>
        </w:rPr>
        <w:t>、文明工作，训练有素，言语规范，认真负责。</w:t>
      </w:r>
    </w:p>
    <w:p w14:paraId="1CC18616" w14:textId="77777777" w:rsidR="005C18CB" w:rsidRDefault="005C18CB">
      <w:pPr>
        <w:tabs>
          <w:tab w:val="left" w:pos="3780"/>
        </w:tabs>
        <w:ind w:left="1120" w:hangingChars="400" w:hanging="1120"/>
        <w:jc w:val="left"/>
        <w:rPr>
          <w:rFonts w:ascii="仿宋_GB2312" w:eastAsia="仿宋_GB2312" w:hAnsi="仿宋_GB2312" w:cs="仿宋_GB2312"/>
          <w:kern w:val="0"/>
          <w:sz w:val="28"/>
          <w:szCs w:val="28"/>
        </w:rPr>
      </w:pPr>
    </w:p>
    <w:p w14:paraId="4741AFB7" w14:textId="77777777" w:rsidR="005C18CB" w:rsidRDefault="00F40D6A">
      <w:pPr>
        <w:tabs>
          <w:tab w:val="left" w:pos="3780"/>
        </w:tabs>
        <w:ind w:firstLineChars="2000" w:firstLine="5600"/>
        <w:jc w:val="lef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浙江康复医疗中心</w:t>
      </w:r>
    </w:p>
    <w:p w14:paraId="3DFEE263" w14:textId="33A51578" w:rsidR="005C18CB" w:rsidRDefault="00F40D6A">
      <w:pPr>
        <w:tabs>
          <w:tab w:val="left" w:pos="3780"/>
        </w:tabs>
        <w:ind w:firstLineChars="2000" w:firstLine="5600"/>
        <w:rPr>
          <w:rFonts w:ascii="仿宋_GB2312" w:eastAsia="仿宋_GB2312" w:hAnsi="仿宋_GB2312" w:cs="仿宋_GB2312"/>
          <w:sz w:val="28"/>
          <w:szCs w:val="28"/>
        </w:rPr>
      </w:pPr>
      <w:r>
        <w:rPr>
          <w:rFonts w:ascii="仿宋_GB2312" w:eastAsia="仿宋_GB2312" w:hAnsi="仿宋_GB2312" w:cs="仿宋_GB2312" w:hint="eastAsia"/>
          <w:sz w:val="28"/>
          <w:szCs w:val="28"/>
        </w:rPr>
        <w:t>202</w:t>
      </w:r>
      <w:r w:rsidR="00336221">
        <w:rPr>
          <w:rFonts w:ascii="仿宋_GB2312" w:eastAsia="仿宋_GB2312" w:hAnsi="仿宋_GB2312" w:cs="仿宋_GB2312"/>
          <w:sz w:val="28"/>
          <w:szCs w:val="28"/>
        </w:rPr>
        <w:t>1</w:t>
      </w:r>
      <w:r>
        <w:rPr>
          <w:rFonts w:ascii="仿宋_GB2312" w:eastAsia="仿宋_GB2312" w:hAnsi="仿宋_GB2312" w:cs="仿宋_GB2312" w:hint="eastAsia"/>
          <w:sz w:val="28"/>
          <w:szCs w:val="28"/>
        </w:rPr>
        <w:t>年11月</w:t>
      </w:r>
      <w:r w:rsidR="00983DFD">
        <w:rPr>
          <w:rFonts w:ascii="仿宋_GB2312" w:eastAsia="仿宋_GB2312" w:hAnsi="仿宋_GB2312" w:cs="仿宋_GB2312"/>
          <w:sz w:val="28"/>
          <w:szCs w:val="28"/>
        </w:rPr>
        <w:t>19</w:t>
      </w:r>
      <w:r>
        <w:rPr>
          <w:rFonts w:ascii="仿宋_GB2312" w:eastAsia="仿宋_GB2312" w:hAnsi="仿宋_GB2312" w:cs="仿宋_GB2312" w:hint="eastAsia"/>
          <w:sz w:val="28"/>
          <w:szCs w:val="28"/>
        </w:rPr>
        <w:t>日</w:t>
      </w:r>
    </w:p>
    <w:p w14:paraId="763FC0CF" w14:textId="77777777" w:rsidR="005C18CB" w:rsidRDefault="005C18CB">
      <w:pPr>
        <w:tabs>
          <w:tab w:val="left" w:pos="3780"/>
        </w:tabs>
        <w:ind w:firstLineChars="2000" w:firstLine="5600"/>
        <w:rPr>
          <w:rFonts w:ascii="仿宋_GB2312" w:eastAsia="仿宋_GB2312" w:hAnsi="仿宋_GB2312" w:cs="仿宋_GB2312"/>
          <w:sz w:val="28"/>
          <w:szCs w:val="28"/>
        </w:rPr>
      </w:pPr>
    </w:p>
    <w:p w14:paraId="282B62AA" w14:textId="77777777" w:rsidR="00336221" w:rsidRDefault="00F40D6A">
      <w:pPr>
        <w:tabs>
          <w:tab w:val="left" w:pos="3780"/>
        </w:tabs>
        <w:rPr>
          <w:rFonts w:ascii="仿宋_GB2312" w:eastAsia="仿宋_GB2312" w:hAnsi="仿宋_GB2312" w:cs="仿宋_GB2312"/>
          <w:b/>
          <w:bCs/>
          <w:sz w:val="44"/>
          <w:szCs w:val="44"/>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b/>
          <w:bCs/>
          <w:sz w:val="44"/>
          <w:szCs w:val="44"/>
        </w:rPr>
        <w:t xml:space="preserve"> </w:t>
      </w:r>
    </w:p>
    <w:p w14:paraId="52A47F1D" w14:textId="77777777" w:rsidR="00336221" w:rsidRDefault="00336221">
      <w:pPr>
        <w:tabs>
          <w:tab w:val="left" w:pos="3780"/>
        </w:tabs>
        <w:rPr>
          <w:rFonts w:ascii="仿宋_GB2312" w:eastAsia="仿宋_GB2312" w:hAnsi="仿宋_GB2312" w:cs="仿宋_GB2312"/>
          <w:b/>
          <w:bCs/>
          <w:sz w:val="44"/>
          <w:szCs w:val="44"/>
        </w:rPr>
      </w:pPr>
    </w:p>
    <w:p w14:paraId="179518B3" w14:textId="77777777" w:rsidR="00336221" w:rsidRDefault="00336221">
      <w:pPr>
        <w:tabs>
          <w:tab w:val="left" w:pos="3780"/>
        </w:tabs>
        <w:rPr>
          <w:rFonts w:ascii="仿宋_GB2312" w:eastAsia="仿宋_GB2312" w:hAnsi="仿宋_GB2312" w:cs="仿宋_GB2312"/>
          <w:b/>
          <w:bCs/>
          <w:sz w:val="44"/>
          <w:szCs w:val="44"/>
        </w:rPr>
      </w:pPr>
    </w:p>
    <w:p w14:paraId="590A3FCA" w14:textId="77777777" w:rsidR="00336221" w:rsidRDefault="00336221">
      <w:pPr>
        <w:tabs>
          <w:tab w:val="left" w:pos="3780"/>
        </w:tabs>
        <w:rPr>
          <w:rFonts w:ascii="仿宋_GB2312" w:eastAsia="仿宋_GB2312" w:hAnsi="仿宋_GB2312" w:cs="仿宋_GB2312"/>
          <w:b/>
          <w:bCs/>
          <w:sz w:val="44"/>
          <w:szCs w:val="44"/>
        </w:rPr>
      </w:pPr>
    </w:p>
    <w:p w14:paraId="59DFA247" w14:textId="77777777" w:rsidR="00336221" w:rsidRDefault="00336221">
      <w:pPr>
        <w:tabs>
          <w:tab w:val="left" w:pos="3780"/>
        </w:tabs>
        <w:rPr>
          <w:rFonts w:ascii="仿宋_GB2312" w:eastAsia="仿宋_GB2312" w:hAnsi="仿宋_GB2312" w:cs="仿宋_GB2312"/>
          <w:b/>
          <w:bCs/>
          <w:sz w:val="44"/>
          <w:szCs w:val="44"/>
        </w:rPr>
      </w:pPr>
    </w:p>
    <w:p w14:paraId="77B3BBCC" w14:textId="77777777" w:rsidR="00336221" w:rsidRDefault="00336221">
      <w:pPr>
        <w:tabs>
          <w:tab w:val="left" w:pos="3780"/>
        </w:tabs>
        <w:rPr>
          <w:rFonts w:ascii="仿宋_GB2312" w:eastAsia="仿宋_GB2312" w:hAnsi="仿宋_GB2312" w:cs="仿宋_GB2312"/>
          <w:b/>
          <w:bCs/>
          <w:sz w:val="44"/>
          <w:szCs w:val="44"/>
        </w:rPr>
      </w:pPr>
    </w:p>
    <w:p w14:paraId="2302349B" w14:textId="77777777" w:rsidR="00336221" w:rsidRDefault="00336221">
      <w:pPr>
        <w:tabs>
          <w:tab w:val="left" w:pos="3780"/>
        </w:tabs>
        <w:rPr>
          <w:rFonts w:ascii="仿宋_GB2312" w:eastAsia="仿宋_GB2312" w:hAnsi="仿宋_GB2312" w:cs="仿宋_GB2312"/>
          <w:b/>
          <w:bCs/>
          <w:sz w:val="44"/>
          <w:szCs w:val="44"/>
        </w:rPr>
      </w:pPr>
    </w:p>
    <w:p w14:paraId="383F5E44" w14:textId="77777777" w:rsidR="00336221" w:rsidRDefault="00336221">
      <w:pPr>
        <w:tabs>
          <w:tab w:val="left" w:pos="3780"/>
        </w:tabs>
        <w:rPr>
          <w:rFonts w:ascii="仿宋_GB2312" w:eastAsia="仿宋_GB2312" w:hAnsi="仿宋_GB2312" w:cs="仿宋_GB2312"/>
          <w:b/>
          <w:bCs/>
          <w:sz w:val="44"/>
          <w:szCs w:val="44"/>
        </w:rPr>
      </w:pPr>
    </w:p>
    <w:p w14:paraId="71797DCC" w14:textId="77777777" w:rsidR="00336221" w:rsidRDefault="00336221">
      <w:pPr>
        <w:tabs>
          <w:tab w:val="left" w:pos="3780"/>
        </w:tabs>
        <w:rPr>
          <w:rFonts w:ascii="仿宋_GB2312" w:eastAsia="仿宋_GB2312" w:hAnsi="仿宋_GB2312" w:cs="仿宋_GB2312"/>
          <w:b/>
          <w:bCs/>
          <w:sz w:val="44"/>
          <w:szCs w:val="44"/>
        </w:rPr>
      </w:pPr>
    </w:p>
    <w:p w14:paraId="7A682A4B" w14:textId="77777777" w:rsidR="00336221" w:rsidRDefault="00336221">
      <w:pPr>
        <w:tabs>
          <w:tab w:val="left" w:pos="3780"/>
        </w:tabs>
        <w:rPr>
          <w:rFonts w:ascii="仿宋_GB2312" w:eastAsia="仿宋_GB2312" w:hAnsi="仿宋_GB2312" w:cs="仿宋_GB2312"/>
          <w:b/>
          <w:bCs/>
          <w:sz w:val="44"/>
          <w:szCs w:val="44"/>
        </w:rPr>
      </w:pPr>
    </w:p>
    <w:p w14:paraId="657A4873" w14:textId="77777777" w:rsidR="00336221" w:rsidRDefault="00336221">
      <w:pPr>
        <w:tabs>
          <w:tab w:val="left" w:pos="3780"/>
        </w:tabs>
        <w:rPr>
          <w:rFonts w:ascii="仿宋_GB2312" w:eastAsia="仿宋_GB2312" w:hAnsi="仿宋_GB2312" w:cs="仿宋_GB2312"/>
          <w:b/>
          <w:bCs/>
          <w:sz w:val="44"/>
          <w:szCs w:val="44"/>
        </w:rPr>
      </w:pPr>
    </w:p>
    <w:p w14:paraId="1BB62168" w14:textId="77777777" w:rsidR="00336221" w:rsidRDefault="00336221">
      <w:pPr>
        <w:tabs>
          <w:tab w:val="left" w:pos="3780"/>
        </w:tabs>
        <w:rPr>
          <w:rFonts w:ascii="仿宋_GB2312" w:eastAsia="仿宋_GB2312" w:hAnsi="仿宋_GB2312" w:cs="仿宋_GB2312"/>
          <w:b/>
          <w:bCs/>
          <w:sz w:val="44"/>
          <w:szCs w:val="44"/>
        </w:rPr>
      </w:pPr>
    </w:p>
    <w:p w14:paraId="7DCF8C4F" w14:textId="77777777" w:rsidR="00336221" w:rsidRDefault="00336221">
      <w:pPr>
        <w:tabs>
          <w:tab w:val="left" w:pos="3780"/>
        </w:tabs>
        <w:rPr>
          <w:rFonts w:ascii="仿宋_GB2312" w:eastAsia="仿宋_GB2312" w:hAnsi="仿宋_GB2312" w:cs="仿宋_GB2312"/>
          <w:b/>
          <w:bCs/>
          <w:sz w:val="44"/>
          <w:szCs w:val="44"/>
        </w:rPr>
      </w:pPr>
    </w:p>
    <w:p w14:paraId="1A5B2D75" w14:textId="77777777" w:rsidR="00336221" w:rsidRDefault="00336221">
      <w:pPr>
        <w:tabs>
          <w:tab w:val="left" w:pos="3780"/>
        </w:tabs>
        <w:rPr>
          <w:rFonts w:ascii="仿宋_GB2312" w:eastAsia="仿宋_GB2312" w:hAnsi="仿宋_GB2312" w:cs="仿宋_GB2312"/>
          <w:b/>
          <w:bCs/>
          <w:sz w:val="44"/>
          <w:szCs w:val="44"/>
        </w:rPr>
      </w:pPr>
    </w:p>
    <w:p w14:paraId="576083F0" w14:textId="77777777" w:rsidR="00336221" w:rsidRDefault="00F40D6A" w:rsidP="00336221">
      <w:pPr>
        <w:tabs>
          <w:tab w:val="left" w:pos="3780"/>
        </w:tabs>
        <w:jc w:val="center"/>
        <w:rPr>
          <w:rFonts w:ascii="仿宋_GB2312" w:eastAsia="仿宋_GB2312" w:hAnsi="仿宋_GB2312" w:cs="仿宋_GB2312"/>
          <w:b/>
          <w:bCs/>
          <w:sz w:val="44"/>
          <w:szCs w:val="44"/>
        </w:rPr>
      </w:pPr>
      <w:r>
        <w:rPr>
          <w:rFonts w:ascii="仿宋_GB2312" w:eastAsia="仿宋_GB2312" w:hAnsi="仿宋_GB2312" w:cs="仿宋_GB2312" w:hint="eastAsia"/>
          <w:b/>
          <w:bCs/>
          <w:sz w:val="44"/>
          <w:szCs w:val="44"/>
        </w:rPr>
        <w:t>招标评分细则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
        <w:gridCol w:w="6582"/>
        <w:gridCol w:w="1126"/>
      </w:tblGrid>
      <w:tr w:rsidR="00336221" w14:paraId="39061417" w14:textId="77777777" w:rsidTr="00EE514E">
        <w:trPr>
          <w:trHeight w:val="248"/>
        </w:trPr>
        <w:tc>
          <w:tcPr>
            <w:tcW w:w="939" w:type="dxa"/>
          </w:tcPr>
          <w:p w14:paraId="2CB276F0" w14:textId="77777777" w:rsidR="00336221" w:rsidRDefault="00336221" w:rsidP="00EE514E">
            <w:pPr>
              <w:spacing w:beforeLines="50" w:before="156" w:afterLines="50" w:after="156"/>
              <w:jc w:val="center"/>
              <w:rPr>
                <w:rFonts w:ascii="宋体" w:hAnsi="宋体"/>
                <w:bCs/>
                <w:sz w:val="24"/>
              </w:rPr>
            </w:pPr>
            <w:r>
              <w:rPr>
                <w:rFonts w:ascii="宋体" w:hAnsi="宋体" w:hint="eastAsia"/>
                <w:bCs/>
                <w:sz w:val="24"/>
              </w:rPr>
              <w:t>序号</w:t>
            </w:r>
          </w:p>
        </w:tc>
        <w:tc>
          <w:tcPr>
            <w:tcW w:w="6582" w:type="dxa"/>
          </w:tcPr>
          <w:p w14:paraId="5589AC7A" w14:textId="77777777" w:rsidR="00336221" w:rsidRDefault="00336221" w:rsidP="00EE514E">
            <w:pPr>
              <w:spacing w:beforeLines="50" w:before="156" w:afterLines="50" w:after="156" w:line="360" w:lineRule="auto"/>
              <w:jc w:val="center"/>
              <w:rPr>
                <w:rFonts w:ascii="宋体" w:hAnsi="宋体"/>
                <w:bCs/>
                <w:sz w:val="24"/>
              </w:rPr>
            </w:pPr>
            <w:r>
              <w:rPr>
                <w:rFonts w:ascii="宋体" w:hAnsi="宋体" w:hint="eastAsia"/>
                <w:bCs/>
                <w:sz w:val="24"/>
              </w:rPr>
              <w:t>评审内容及标准</w:t>
            </w:r>
          </w:p>
        </w:tc>
        <w:tc>
          <w:tcPr>
            <w:tcW w:w="1126" w:type="dxa"/>
            <w:vAlign w:val="center"/>
          </w:tcPr>
          <w:p w14:paraId="1DAAB59D" w14:textId="77777777" w:rsidR="00336221" w:rsidRDefault="00336221" w:rsidP="00EE514E">
            <w:pPr>
              <w:spacing w:beforeLines="50" w:before="156" w:afterLines="50" w:after="156"/>
              <w:jc w:val="center"/>
              <w:rPr>
                <w:rFonts w:ascii="宋体" w:hAnsi="宋体"/>
                <w:bCs/>
                <w:sz w:val="24"/>
              </w:rPr>
            </w:pPr>
            <w:r>
              <w:rPr>
                <w:rFonts w:ascii="宋体" w:hAnsi="宋体" w:hint="eastAsia"/>
                <w:bCs/>
                <w:sz w:val="24"/>
              </w:rPr>
              <w:t>分值</w:t>
            </w:r>
          </w:p>
        </w:tc>
      </w:tr>
      <w:tr w:rsidR="00336221" w14:paraId="0E5C4AAE" w14:textId="77777777" w:rsidTr="00EE514E">
        <w:tc>
          <w:tcPr>
            <w:tcW w:w="939" w:type="dxa"/>
          </w:tcPr>
          <w:p w14:paraId="393D77D8" w14:textId="77777777" w:rsidR="00336221" w:rsidRDefault="00336221" w:rsidP="00EE514E">
            <w:pPr>
              <w:spacing w:beforeLines="50" w:before="156" w:afterLines="50" w:after="156"/>
              <w:jc w:val="center"/>
              <w:rPr>
                <w:rFonts w:ascii="宋体" w:hAnsi="宋体"/>
                <w:bCs/>
                <w:sz w:val="24"/>
              </w:rPr>
            </w:pPr>
            <w:r>
              <w:rPr>
                <w:rFonts w:ascii="宋体" w:hAnsi="宋体" w:hint="eastAsia"/>
                <w:bCs/>
                <w:sz w:val="24"/>
              </w:rPr>
              <w:t>（一）</w:t>
            </w:r>
          </w:p>
        </w:tc>
        <w:tc>
          <w:tcPr>
            <w:tcW w:w="6582" w:type="dxa"/>
          </w:tcPr>
          <w:p w14:paraId="062B69DF" w14:textId="77777777" w:rsidR="00336221" w:rsidRDefault="00336221" w:rsidP="00EE514E">
            <w:pPr>
              <w:spacing w:beforeLines="50" w:before="156" w:afterLines="50" w:after="156" w:line="360" w:lineRule="auto"/>
              <w:rPr>
                <w:rFonts w:ascii="宋体" w:hAnsi="宋体"/>
                <w:bCs/>
                <w:sz w:val="24"/>
              </w:rPr>
            </w:pPr>
            <w:r>
              <w:rPr>
                <w:rFonts w:ascii="宋体" w:hAnsi="宋体" w:hint="eastAsia"/>
                <w:bCs/>
                <w:sz w:val="24"/>
              </w:rPr>
              <w:t>商务部分</w:t>
            </w:r>
          </w:p>
        </w:tc>
        <w:tc>
          <w:tcPr>
            <w:tcW w:w="1126" w:type="dxa"/>
            <w:vAlign w:val="center"/>
          </w:tcPr>
          <w:p w14:paraId="4A893FAA" w14:textId="24B9675F" w:rsidR="00336221" w:rsidRDefault="000C2504" w:rsidP="00EE514E">
            <w:pPr>
              <w:spacing w:beforeLines="50" w:before="156" w:afterLines="50" w:after="156"/>
              <w:jc w:val="center"/>
              <w:rPr>
                <w:rFonts w:ascii="宋体" w:hAnsi="宋体"/>
                <w:bCs/>
                <w:sz w:val="24"/>
              </w:rPr>
            </w:pPr>
            <w:r>
              <w:rPr>
                <w:rFonts w:ascii="宋体" w:hAnsi="宋体"/>
                <w:sz w:val="24"/>
                <w:u w:val="single"/>
              </w:rPr>
              <w:t>20</w:t>
            </w:r>
            <w:r w:rsidR="00336221">
              <w:rPr>
                <w:rFonts w:ascii="宋体" w:hAnsi="宋体" w:hint="eastAsia"/>
                <w:sz w:val="24"/>
              </w:rPr>
              <w:t>分</w:t>
            </w:r>
          </w:p>
        </w:tc>
      </w:tr>
      <w:tr w:rsidR="00336221" w14:paraId="20DEE794" w14:textId="77777777" w:rsidTr="00EE514E">
        <w:trPr>
          <w:trHeight w:val="830"/>
        </w:trPr>
        <w:tc>
          <w:tcPr>
            <w:tcW w:w="939" w:type="dxa"/>
          </w:tcPr>
          <w:p w14:paraId="05A9BA99" w14:textId="77777777" w:rsidR="00336221" w:rsidRDefault="00336221" w:rsidP="00EE514E">
            <w:pPr>
              <w:spacing w:beforeLines="50" w:before="156" w:afterLines="50" w:after="156"/>
              <w:jc w:val="center"/>
              <w:rPr>
                <w:rFonts w:ascii="宋体" w:hAnsi="宋体"/>
                <w:bCs/>
                <w:sz w:val="24"/>
              </w:rPr>
            </w:pPr>
            <w:r>
              <w:rPr>
                <w:rFonts w:ascii="宋体" w:hAnsi="宋体" w:hint="eastAsia"/>
                <w:sz w:val="24"/>
              </w:rPr>
              <w:t>1</w:t>
            </w:r>
          </w:p>
        </w:tc>
        <w:tc>
          <w:tcPr>
            <w:tcW w:w="6582" w:type="dxa"/>
            <w:vAlign w:val="center"/>
          </w:tcPr>
          <w:p w14:paraId="5B683AB3" w14:textId="77777777" w:rsidR="00336221" w:rsidRDefault="00336221" w:rsidP="00EE514E">
            <w:pPr>
              <w:spacing w:line="360" w:lineRule="auto"/>
              <w:ind w:rightChars="-10" w:right="-21"/>
              <w:jc w:val="left"/>
              <w:rPr>
                <w:rFonts w:ascii="宋体" w:hAnsi="宋体"/>
                <w:sz w:val="24"/>
              </w:rPr>
            </w:pPr>
            <w:r>
              <w:rPr>
                <w:rFonts w:ascii="宋体" w:hAnsi="宋体" w:hint="eastAsia"/>
                <w:sz w:val="24"/>
              </w:rPr>
              <w:t>供应商同类项目业绩:自2018年1月1日至响应文件提交截止时间以来同类项目业绩，每提供一个同类项目业绩证明材料的得2分，本项最高得10分。</w:t>
            </w:r>
          </w:p>
          <w:p w14:paraId="48A0CAEE" w14:textId="77777777" w:rsidR="00336221" w:rsidRDefault="00336221" w:rsidP="00EE514E">
            <w:pPr>
              <w:spacing w:line="360" w:lineRule="auto"/>
              <w:ind w:rightChars="-10" w:right="-21"/>
              <w:jc w:val="left"/>
              <w:rPr>
                <w:rFonts w:ascii="宋体" w:hAnsi="宋体"/>
                <w:sz w:val="24"/>
              </w:rPr>
            </w:pPr>
            <w:r>
              <w:rPr>
                <w:rFonts w:ascii="宋体" w:hAnsi="宋体" w:hint="eastAsia"/>
                <w:sz w:val="24"/>
              </w:rPr>
              <w:t>证明材料：合同，复印件须加盖供应商公章。</w:t>
            </w:r>
          </w:p>
        </w:tc>
        <w:tc>
          <w:tcPr>
            <w:tcW w:w="1126" w:type="dxa"/>
            <w:vAlign w:val="center"/>
          </w:tcPr>
          <w:p w14:paraId="5B95E77F" w14:textId="77777777" w:rsidR="00336221" w:rsidRDefault="00336221" w:rsidP="00EE514E">
            <w:pPr>
              <w:spacing w:line="360" w:lineRule="auto"/>
              <w:jc w:val="center"/>
              <w:rPr>
                <w:rFonts w:ascii="宋体" w:hAnsi="宋体"/>
                <w:sz w:val="24"/>
              </w:rPr>
            </w:pPr>
            <w:r>
              <w:rPr>
                <w:rFonts w:ascii="宋体" w:hAnsi="宋体" w:hint="eastAsia"/>
                <w:sz w:val="24"/>
              </w:rPr>
              <w:t>0～10分</w:t>
            </w:r>
          </w:p>
        </w:tc>
      </w:tr>
      <w:tr w:rsidR="00336221" w14:paraId="1B40D84D" w14:textId="77777777" w:rsidTr="00EE514E">
        <w:trPr>
          <w:trHeight w:val="690"/>
        </w:trPr>
        <w:tc>
          <w:tcPr>
            <w:tcW w:w="939" w:type="dxa"/>
          </w:tcPr>
          <w:p w14:paraId="4BC8A37E" w14:textId="2A6A92A6" w:rsidR="00336221" w:rsidRDefault="000C2504" w:rsidP="00EE514E">
            <w:pPr>
              <w:spacing w:beforeLines="50" w:before="156" w:afterLines="50" w:after="156"/>
              <w:jc w:val="center"/>
              <w:rPr>
                <w:rFonts w:ascii="宋体" w:hAnsi="宋体"/>
                <w:bCs/>
                <w:sz w:val="24"/>
              </w:rPr>
            </w:pPr>
            <w:r>
              <w:rPr>
                <w:rFonts w:ascii="宋体" w:hAnsi="宋体"/>
                <w:sz w:val="24"/>
              </w:rPr>
              <w:t>2</w:t>
            </w:r>
          </w:p>
        </w:tc>
        <w:tc>
          <w:tcPr>
            <w:tcW w:w="6582" w:type="dxa"/>
          </w:tcPr>
          <w:p w14:paraId="6B34EF9D" w14:textId="77777777" w:rsidR="00336221" w:rsidRDefault="00336221" w:rsidP="00EE514E">
            <w:pPr>
              <w:snapToGrid w:val="0"/>
              <w:spacing w:line="360" w:lineRule="auto"/>
              <w:jc w:val="left"/>
              <w:rPr>
                <w:rFonts w:ascii="宋体" w:hAnsi="宋体"/>
                <w:sz w:val="24"/>
              </w:rPr>
            </w:pPr>
            <w:r>
              <w:rPr>
                <w:rFonts w:ascii="宋体" w:hAnsi="宋体" w:hint="eastAsia"/>
                <w:sz w:val="24"/>
              </w:rPr>
              <w:t>供应商同时</w:t>
            </w:r>
            <w:r>
              <w:rPr>
                <w:rFonts w:ascii="宋体" w:hAnsi="宋体"/>
                <w:sz w:val="24"/>
              </w:rPr>
              <w:t>具有有效的质量管理认证、职业健康管理认证、环境管理体系认证证书的，得</w:t>
            </w:r>
            <w:r>
              <w:rPr>
                <w:rFonts w:ascii="宋体" w:hAnsi="宋体" w:hint="eastAsia"/>
                <w:sz w:val="24"/>
              </w:rPr>
              <w:t>2</w:t>
            </w:r>
            <w:r>
              <w:rPr>
                <w:rFonts w:ascii="宋体" w:hAnsi="宋体"/>
                <w:sz w:val="24"/>
              </w:rPr>
              <w:t>分</w:t>
            </w:r>
            <w:r>
              <w:rPr>
                <w:rFonts w:ascii="宋体" w:hAnsi="宋体" w:hint="eastAsia"/>
                <w:sz w:val="24"/>
              </w:rPr>
              <w:t>。</w:t>
            </w:r>
          </w:p>
          <w:p w14:paraId="68D947E1" w14:textId="77777777" w:rsidR="00336221" w:rsidRDefault="00336221" w:rsidP="00EE514E">
            <w:pPr>
              <w:adjustRightInd w:val="0"/>
              <w:snapToGrid w:val="0"/>
              <w:spacing w:line="360" w:lineRule="auto"/>
              <w:rPr>
                <w:rFonts w:ascii="宋体" w:hAnsi="宋体"/>
                <w:sz w:val="24"/>
              </w:rPr>
            </w:pPr>
            <w:r>
              <w:rPr>
                <w:rFonts w:ascii="宋体" w:hAnsi="宋体" w:hint="eastAsia"/>
                <w:sz w:val="24"/>
              </w:rPr>
              <w:t>证明材料：有效的证书复印件。</w:t>
            </w:r>
          </w:p>
        </w:tc>
        <w:tc>
          <w:tcPr>
            <w:tcW w:w="1126" w:type="dxa"/>
            <w:vAlign w:val="center"/>
          </w:tcPr>
          <w:p w14:paraId="72A767AA" w14:textId="1D494A82" w:rsidR="00336221" w:rsidRDefault="000C2504" w:rsidP="00EE514E">
            <w:pPr>
              <w:spacing w:beforeLines="50" w:before="156" w:afterLines="50" w:after="156"/>
              <w:jc w:val="center"/>
              <w:rPr>
                <w:rFonts w:ascii="宋体" w:hAnsi="宋体"/>
                <w:bCs/>
                <w:sz w:val="24"/>
              </w:rPr>
            </w:pPr>
            <w:r>
              <w:rPr>
                <w:rFonts w:ascii="宋体" w:hAnsi="宋体" w:hint="eastAsia"/>
                <w:sz w:val="24"/>
              </w:rPr>
              <w:t>0-10</w:t>
            </w:r>
            <w:r w:rsidR="00336221">
              <w:rPr>
                <w:rFonts w:ascii="宋体" w:hAnsi="宋体" w:hint="eastAsia"/>
                <w:sz w:val="24"/>
              </w:rPr>
              <w:t>分</w:t>
            </w:r>
          </w:p>
        </w:tc>
      </w:tr>
      <w:tr w:rsidR="00336221" w14:paraId="4C98A8A7" w14:textId="77777777" w:rsidTr="00EE514E">
        <w:tc>
          <w:tcPr>
            <w:tcW w:w="939" w:type="dxa"/>
          </w:tcPr>
          <w:p w14:paraId="21B6B90C" w14:textId="77777777" w:rsidR="00336221" w:rsidRDefault="00336221" w:rsidP="00EE514E">
            <w:pPr>
              <w:spacing w:beforeLines="50" w:before="156" w:afterLines="50" w:after="156"/>
              <w:jc w:val="center"/>
              <w:rPr>
                <w:rFonts w:ascii="宋体" w:hAnsi="宋体"/>
                <w:bCs/>
                <w:sz w:val="24"/>
              </w:rPr>
            </w:pPr>
            <w:r>
              <w:rPr>
                <w:rFonts w:ascii="宋体" w:hAnsi="宋体" w:hint="eastAsia"/>
                <w:bCs/>
                <w:sz w:val="24"/>
              </w:rPr>
              <w:t>（二）</w:t>
            </w:r>
          </w:p>
        </w:tc>
        <w:tc>
          <w:tcPr>
            <w:tcW w:w="6582" w:type="dxa"/>
          </w:tcPr>
          <w:p w14:paraId="79E5C83D" w14:textId="77777777" w:rsidR="00336221" w:rsidRDefault="00336221" w:rsidP="00EE514E">
            <w:pPr>
              <w:spacing w:beforeLines="50" w:before="156" w:afterLines="50" w:after="156" w:line="360" w:lineRule="auto"/>
              <w:rPr>
                <w:rFonts w:ascii="宋体" w:hAnsi="宋体"/>
                <w:bCs/>
                <w:sz w:val="24"/>
              </w:rPr>
            </w:pPr>
            <w:r>
              <w:rPr>
                <w:rFonts w:ascii="宋体" w:hAnsi="宋体" w:hint="eastAsia"/>
                <w:sz w:val="24"/>
              </w:rPr>
              <w:t>技术部分</w:t>
            </w:r>
          </w:p>
        </w:tc>
        <w:tc>
          <w:tcPr>
            <w:tcW w:w="1126" w:type="dxa"/>
            <w:vAlign w:val="center"/>
          </w:tcPr>
          <w:p w14:paraId="7F3FC5EA" w14:textId="60BFBF00" w:rsidR="00336221" w:rsidRDefault="000C2504" w:rsidP="00EE514E">
            <w:pPr>
              <w:spacing w:beforeLines="50" w:before="156" w:afterLines="50" w:after="156"/>
              <w:jc w:val="center"/>
              <w:rPr>
                <w:rFonts w:ascii="宋体" w:hAnsi="宋体"/>
                <w:bCs/>
                <w:sz w:val="24"/>
              </w:rPr>
            </w:pPr>
            <w:r>
              <w:rPr>
                <w:rFonts w:ascii="宋体" w:hAnsi="宋体"/>
                <w:sz w:val="24"/>
                <w:u w:val="single"/>
              </w:rPr>
              <w:t>50</w:t>
            </w:r>
            <w:r w:rsidR="00336221">
              <w:rPr>
                <w:rFonts w:ascii="宋体" w:hAnsi="宋体" w:hint="eastAsia"/>
                <w:sz w:val="24"/>
              </w:rPr>
              <w:t>分</w:t>
            </w:r>
          </w:p>
        </w:tc>
      </w:tr>
      <w:tr w:rsidR="00336221" w14:paraId="414920B8" w14:textId="77777777" w:rsidTr="00EE514E">
        <w:trPr>
          <w:trHeight w:val="327"/>
        </w:trPr>
        <w:tc>
          <w:tcPr>
            <w:tcW w:w="939" w:type="dxa"/>
          </w:tcPr>
          <w:p w14:paraId="178AF83F" w14:textId="77777777" w:rsidR="00336221" w:rsidRDefault="00336221" w:rsidP="00EE514E">
            <w:pPr>
              <w:spacing w:beforeLines="50" w:before="156" w:afterLines="50" w:after="156" w:line="276" w:lineRule="auto"/>
              <w:jc w:val="center"/>
              <w:rPr>
                <w:rFonts w:ascii="宋体" w:hAnsi="宋体"/>
                <w:bCs/>
                <w:sz w:val="24"/>
              </w:rPr>
            </w:pPr>
            <w:r>
              <w:rPr>
                <w:rFonts w:ascii="宋体" w:hAnsi="宋体" w:hint="eastAsia"/>
                <w:sz w:val="24"/>
              </w:rPr>
              <w:t>1</w:t>
            </w:r>
          </w:p>
        </w:tc>
        <w:tc>
          <w:tcPr>
            <w:tcW w:w="6582" w:type="dxa"/>
            <w:vAlign w:val="center"/>
          </w:tcPr>
          <w:p w14:paraId="496239BD" w14:textId="365DFD39" w:rsidR="00336221" w:rsidRDefault="00336221" w:rsidP="00EE514E">
            <w:pPr>
              <w:spacing w:line="360" w:lineRule="auto"/>
              <w:ind w:rightChars="-10" w:right="-21"/>
              <w:rPr>
                <w:rFonts w:ascii="宋体" w:hAnsi="宋体"/>
                <w:sz w:val="24"/>
              </w:rPr>
            </w:pPr>
            <w:r>
              <w:rPr>
                <w:rFonts w:ascii="宋体" w:hAnsi="宋体" w:hint="eastAsia"/>
                <w:sz w:val="24"/>
              </w:rPr>
              <w:t>根据招标文件规定的服务标准，维保服务总体方案详尽、完整、具有可操作性的得</w:t>
            </w:r>
            <w:r w:rsidR="000C2504">
              <w:rPr>
                <w:rFonts w:ascii="宋体" w:hAnsi="宋体" w:hint="eastAsia"/>
                <w:sz w:val="24"/>
              </w:rPr>
              <w:t>10</w:t>
            </w:r>
            <w:r>
              <w:rPr>
                <w:rFonts w:ascii="宋体" w:hAnsi="宋体" w:hint="eastAsia"/>
                <w:sz w:val="24"/>
              </w:rPr>
              <w:t>分，其余情况</w:t>
            </w:r>
            <w:r w:rsidR="000C2504">
              <w:rPr>
                <w:rFonts w:ascii="宋体" w:hAnsi="宋体" w:hint="eastAsia"/>
                <w:sz w:val="24"/>
              </w:rPr>
              <w:t>0-8</w:t>
            </w:r>
            <w:r>
              <w:rPr>
                <w:rFonts w:ascii="宋体" w:hAnsi="宋体" w:hint="eastAsia"/>
                <w:sz w:val="24"/>
              </w:rPr>
              <w:t>分。</w:t>
            </w:r>
          </w:p>
        </w:tc>
        <w:tc>
          <w:tcPr>
            <w:tcW w:w="1126" w:type="dxa"/>
            <w:vAlign w:val="center"/>
          </w:tcPr>
          <w:p w14:paraId="584DF1FB" w14:textId="24F73476" w:rsidR="00336221" w:rsidRDefault="000C2504" w:rsidP="00EE514E">
            <w:pPr>
              <w:spacing w:line="360" w:lineRule="auto"/>
              <w:jc w:val="center"/>
              <w:rPr>
                <w:rFonts w:ascii="宋体" w:hAnsi="宋体"/>
                <w:sz w:val="24"/>
              </w:rPr>
            </w:pPr>
            <w:r>
              <w:rPr>
                <w:rFonts w:ascii="宋体" w:hAnsi="宋体" w:hint="eastAsia"/>
                <w:sz w:val="24"/>
              </w:rPr>
              <w:t>0-10</w:t>
            </w:r>
            <w:r w:rsidR="00336221">
              <w:rPr>
                <w:rFonts w:ascii="宋体" w:hAnsi="宋体" w:hint="eastAsia"/>
                <w:sz w:val="24"/>
              </w:rPr>
              <w:t>分</w:t>
            </w:r>
          </w:p>
        </w:tc>
      </w:tr>
      <w:tr w:rsidR="00336221" w14:paraId="4BF137EC" w14:textId="77777777" w:rsidTr="00EE514E">
        <w:trPr>
          <w:trHeight w:val="327"/>
        </w:trPr>
        <w:tc>
          <w:tcPr>
            <w:tcW w:w="939" w:type="dxa"/>
          </w:tcPr>
          <w:p w14:paraId="2D791A52"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2</w:t>
            </w:r>
          </w:p>
        </w:tc>
        <w:tc>
          <w:tcPr>
            <w:tcW w:w="6582" w:type="dxa"/>
            <w:vAlign w:val="center"/>
          </w:tcPr>
          <w:p w14:paraId="19F38FB6" w14:textId="77340029" w:rsidR="00336221" w:rsidRDefault="00336221" w:rsidP="000C2504">
            <w:pPr>
              <w:spacing w:line="360" w:lineRule="auto"/>
              <w:ind w:rightChars="-10" w:right="-21"/>
              <w:rPr>
                <w:rFonts w:ascii="宋体" w:hAnsi="宋体"/>
                <w:sz w:val="24"/>
              </w:rPr>
            </w:pPr>
            <w:r>
              <w:rPr>
                <w:rFonts w:ascii="宋体" w:hAnsi="宋体" w:cs="华文中宋" w:hint="eastAsia"/>
                <w:kern w:val="0"/>
                <w:sz w:val="24"/>
              </w:rPr>
              <w:t>日常维护保养计划措施: 日常维护保养计划措施详尽、合理、完整、具有可操作性的得</w:t>
            </w:r>
            <w:r w:rsidR="000C2504">
              <w:rPr>
                <w:rFonts w:ascii="宋体" w:hAnsi="宋体" w:cs="华文中宋"/>
                <w:kern w:val="0"/>
                <w:sz w:val="24"/>
              </w:rPr>
              <w:t>10</w:t>
            </w:r>
            <w:r>
              <w:rPr>
                <w:rFonts w:ascii="宋体" w:hAnsi="宋体" w:cs="华文中宋" w:hint="eastAsia"/>
                <w:kern w:val="0"/>
                <w:sz w:val="24"/>
              </w:rPr>
              <w:t>分</w:t>
            </w:r>
            <w:r>
              <w:rPr>
                <w:rFonts w:ascii="宋体" w:hAnsi="宋体" w:hint="eastAsia"/>
                <w:sz w:val="24"/>
              </w:rPr>
              <w:t>，其余情况0-4分。</w:t>
            </w:r>
          </w:p>
        </w:tc>
        <w:tc>
          <w:tcPr>
            <w:tcW w:w="1126" w:type="dxa"/>
            <w:vAlign w:val="center"/>
          </w:tcPr>
          <w:p w14:paraId="2FDCFD61" w14:textId="69896A2F" w:rsidR="00336221" w:rsidRDefault="00336221" w:rsidP="00EE514E">
            <w:pPr>
              <w:spacing w:line="360" w:lineRule="auto"/>
              <w:jc w:val="center"/>
              <w:rPr>
                <w:rFonts w:ascii="宋体" w:hAnsi="宋体"/>
                <w:sz w:val="24"/>
              </w:rPr>
            </w:pPr>
            <w:r>
              <w:rPr>
                <w:rFonts w:ascii="宋体" w:hAnsi="宋体" w:hint="eastAsia"/>
                <w:sz w:val="24"/>
              </w:rPr>
              <w:t>0</w:t>
            </w:r>
            <w:r w:rsidR="000C2504">
              <w:rPr>
                <w:rFonts w:ascii="宋体" w:hAnsi="宋体" w:hint="eastAsia"/>
                <w:sz w:val="24"/>
              </w:rPr>
              <w:t>-10</w:t>
            </w:r>
            <w:r>
              <w:rPr>
                <w:rFonts w:ascii="宋体" w:hAnsi="宋体" w:hint="eastAsia"/>
                <w:sz w:val="24"/>
              </w:rPr>
              <w:t>分</w:t>
            </w:r>
          </w:p>
        </w:tc>
      </w:tr>
      <w:tr w:rsidR="00336221" w14:paraId="526C2281" w14:textId="77777777" w:rsidTr="00EE514E">
        <w:trPr>
          <w:trHeight w:val="327"/>
        </w:trPr>
        <w:tc>
          <w:tcPr>
            <w:tcW w:w="939" w:type="dxa"/>
          </w:tcPr>
          <w:p w14:paraId="7A865291"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6</w:t>
            </w:r>
          </w:p>
        </w:tc>
        <w:tc>
          <w:tcPr>
            <w:tcW w:w="6582" w:type="dxa"/>
            <w:vAlign w:val="center"/>
          </w:tcPr>
          <w:p w14:paraId="0E1A7B5E" w14:textId="77777777" w:rsidR="00336221" w:rsidRDefault="00336221" w:rsidP="00EE514E">
            <w:pPr>
              <w:spacing w:line="360" w:lineRule="auto"/>
              <w:ind w:rightChars="-10" w:right="-21"/>
              <w:rPr>
                <w:rFonts w:ascii="宋体" w:hAnsi="宋体"/>
                <w:sz w:val="24"/>
              </w:rPr>
            </w:pPr>
            <w:r>
              <w:rPr>
                <w:rFonts w:ascii="宋体" w:hAnsi="宋体" w:hint="eastAsia"/>
                <w:sz w:val="24"/>
              </w:rPr>
              <w:t>供应商的时效性承诺情况：根据供应商收到维修单的响应时间、到达现场时间、修理完成时间等的承诺情况进行评分。</w:t>
            </w:r>
          </w:p>
        </w:tc>
        <w:tc>
          <w:tcPr>
            <w:tcW w:w="1126" w:type="dxa"/>
            <w:vAlign w:val="center"/>
          </w:tcPr>
          <w:p w14:paraId="28FB7960" w14:textId="77777777" w:rsidR="00336221" w:rsidRDefault="00336221" w:rsidP="00EE514E">
            <w:pPr>
              <w:spacing w:line="360" w:lineRule="auto"/>
              <w:jc w:val="center"/>
              <w:rPr>
                <w:rFonts w:ascii="宋体" w:hAnsi="宋体"/>
                <w:sz w:val="24"/>
              </w:rPr>
            </w:pPr>
            <w:r>
              <w:rPr>
                <w:rFonts w:ascii="宋体" w:hAnsi="宋体" w:hint="eastAsia"/>
                <w:sz w:val="24"/>
              </w:rPr>
              <w:t>0-5分</w:t>
            </w:r>
          </w:p>
        </w:tc>
      </w:tr>
      <w:tr w:rsidR="00336221" w14:paraId="6B7EBE31" w14:textId="77777777" w:rsidTr="00EE514E">
        <w:trPr>
          <w:trHeight w:val="327"/>
        </w:trPr>
        <w:tc>
          <w:tcPr>
            <w:tcW w:w="939" w:type="dxa"/>
          </w:tcPr>
          <w:p w14:paraId="19748568"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7</w:t>
            </w:r>
          </w:p>
        </w:tc>
        <w:tc>
          <w:tcPr>
            <w:tcW w:w="6582" w:type="dxa"/>
            <w:vAlign w:val="center"/>
          </w:tcPr>
          <w:p w14:paraId="262EB8C1" w14:textId="77777777" w:rsidR="00336221" w:rsidRDefault="00336221" w:rsidP="00EE514E">
            <w:pPr>
              <w:spacing w:line="360" w:lineRule="auto"/>
              <w:ind w:rightChars="-10" w:right="-21"/>
              <w:rPr>
                <w:rFonts w:ascii="宋体" w:hAnsi="宋体"/>
                <w:sz w:val="24"/>
              </w:rPr>
            </w:pPr>
            <w:r>
              <w:rPr>
                <w:rFonts w:ascii="宋体" w:hAnsi="宋体" w:hint="eastAsia"/>
                <w:sz w:val="24"/>
              </w:rPr>
              <w:t>维修配件供应的保障措施，针对本次采购范围内涉及到的各规格型号的维修配件，供应商保障维修配件正常供应的措施可行、配件来源可靠。</w:t>
            </w:r>
          </w:p>
        </w:tc>
        <w:tc>
          <w:tcPr>
            <w:tcW w:w="1126" w:type="dxa"/>
            <w:vAlign w:val="center"/>
          </w:tcPr>
          <w:p w14:paraId="69729303" w14:textId="77777777" w:rsidR="00336221" w:rsidRDefault="00336221" w:rsidP="00EE514E">
            <w:pPr>
              <w:spacing w:line="360" w:lineRule="auto"/>
              <w:jc w:val="center"/>
              <w:rPr>
                <w:rFonts w:ascii="宋体" w:hAnsi="宋体"/>
                <w:sz w:val="24"/>
              </w:rPr>
            </w:pPr>
            <w:r>
              <w:rPr>
                <w:rFonts w:ascii="宋体" w:hAnsi="宋体" w:hint="eastAsia"/>
                <w:sz w:val="24"/>
              </w:rPr>
              <w:t>0-5分</w:t>
            </w:r>
          </w:p>
        </w:tc>
      </w:tr>
      <w:tr w:rsidR="00336221" w14:paraId="2811F739" w14:textId="77777777" w:rsidTr="00EE514E">
        <w:trPr>
          <w:trHeight w:val="327"/>
        </w:trPr>
        <w:tc>
          <w:tcPr>
            <w:tcW w:w="939" w:type="dxa"/>
          </w:tcPr>
          <w:p w14:paraId="78535169"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8</w:t>
            </w:r>
          </w:p>
        </w:tc>
        <w:tc>
          <w:tcPr>
            <w:tcW w:w="6582" w:type="dxa"/>
            <w:tcBorders>
              <w:bottom w:val="single" w:sz="4" w:space="0" w:color="auto"/>
            </w:tcBorders>
            <w:vAlign w:val="center"/>
          </w:tcPr>
          <w:p w14:paraId="2F6733D7" w14:textId="77777777" w:rsidR="00336221" w:rsidRDefault="00336221" w:rsidP="00EE514E">
            <w:pPr>
              <w:spacing w:line="360" w:lineRule="auto"/>
              <w:ind w:rightChars="-10" w:right="-21"/>
              <w:rPr>
                <w:rFonts w:ascii="宋体" w:hAnsi="宋体"/>
                <w:sz w:val="24"/>
              </w:rPr>
            </w:pPr>
            <w:r>
              <w:rPr>
                <w:rFonts w:ascii="宋体" w:hAnsi="宋体" w:hint="eastAsia"/>
                <w:sz w:val="24"/>
              </w:rPr>
              <w:t>项目负责人经验情况：</w:t>
            </w:r>
          </w:p>
          <w:p w14:paraId="253C7AFA" w14:textId="77777777" w:rsidR="00336221" w:rsidRDefault="00336221" w:rsidP="00EE514E">
            <w:pPr>
              <w:widowControl/>
              <w:spacing w:line="360" w:lineRule="auto"/>
              <w:rPr>
                <w:rFonts w:ascii="宋体" w:hAnsi="宋体" w:cs="宋体"/>
                <w:kern w:val="0"/>
                <w:sz w:val="24"/>
                <w:lang w:bidi="ar"/>
              </w:rPr>
            </w:pPr>
            <w:r>
              <w:rPr>
                <w:rFonts w:ascii="宋体" w:hAnsi="宋体" w:cs="宋体" w:hint="eastAsia"/>
                <w:kern w:val="0"/>
                <w:sz w:val="24"/>
                <w:lang w:bidi="ar"/>
              </w:rPr>
              <w:t>拟派本项目的项目负责人具有高级技术职称的，得2分，中级技术职称的，得1分，其余不得分。提供证书复印件；</w:t>
            </w:r>
          </w:p>
          <w:p w14:paraId="1C468152" w14:textId="77777777" w:rsidR="00336221" w:rsidRDefault="00336221" w:rsidP="00EE514E">
            <w:pPr>
              <w:spacing w:line="360" w:lineRule="auto"/>
              <w:ind w:rightChars="-10" w:right="-21"/>
              <w:rPr>
                <w:rFonts w:ascii="宋体" w:hAnsi="宋体"/>
                <w:sz w:val="24"/>
              </w:rPr>
            </w:pPr>
            <w:r>
              <w:rPr>
                <w:rFonts w:ascii="宋体" w:hAnsi="宋体" w:cs="宋体" w:hint="eastAsia"/>
                <w:kern w:val="0"/>
                <w:sz w:val="24"/>
                <w:lang w:bidi="ar"/>
              </w:rPr>
              <w:lastRenderedPageBreak/>
              <w:t>拟派项目负责人具有同类项目服务业绩的，每提供1个得1分，最高得3分。</w:t>
            </w:r>
          </w:p>
        </w:tc>
        <w:tc>
          <w:tcPr>
            <w:tcW w:w="1126" w:type="dxa"/>
            <w:tcBorders>
              <w:bottom w:val="single" w:sz="4" w:space="0" w:color="auto"/>
            </w:tcBorders>
            <w:vAlign w:val="center"/>
          </w:tcPr>
          <w:p w14:paraId="57DBD89E" w14:textId="77777777" w:rsidR="00336221" w:rsidRDefault="00336221" w:rsidP="00EE514E">
            <w:pPr>
              <w:spacing w:line="360" w:lineRule="auto"/>
              <w:jc w:val="center"/>
              <w:rPr>
                <w:rFonts w:ascii="宋体" w:hAnsi="宋体"/>
                <w:sz w:val="24"/>
              </w:rPr>
            </w:pPr>
            <w:r>
              <w:rPr>
                <w:rFonts w:ascii="宋体" w:hAnsi="宋体" w:hint="eastAsia"/>
                <w:sz w:val="24"/>
              </w:rPr>
              <w:lastRenderedPageBreak/>
              <w:t>0-5分</w:t>
            </w:r>
          </w:p>
        </w:tc>
      </w:tr>
      <w:tr w:rsidR="00336221" w14:paraId="79FB34AC" w14:textId="77777777" w:rsidTr="00EE514E">
        <w:trPr>
          <w:trHeight w:val="327"/>
        </w:trPr>
        <w:tc>
          <w:tcPr>
            <w:tcW w:w="939" w:type="dxa"/>
          </w:tcPr>
          <w:p w14:paraId="544606AB"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9</w:t>
            </w:r>
          </w:p>
        </w:tc>
        <w:tc>
          <w:tcPr>
            <w:tcW w:w="6582" w:type="dxa"/>
            <w:tcBorders>
              <w:bottom w:val="single" w:sz="4" w:space="0" w:color="auto"/>
            </w:tcBorders>
            <w:vAlign w:val="center"/>
          </w:tcPr>
          <w:p w14:paraId="08505A19" w14:textId="6C4651BE" w:rsidR="00336221" w:rsidRDefault="00336221" w:rsidP="00EE514E">
            <w:pPr>
              <w:spacing w:line="360" w:lineRule="auto"/>
              <w:ind w:rightChars="-10" w:right="-21"/>
              <w:rPr>
                <w:rFonts w:ascii="宋体" w:hAnsi="宋体"/>
                <w:sz w:val="24"/>
              </w:rPr>
            </w:pPr>
            <w:r>
              <w:rPr>
                <w:rFonts w:ascii="宋体" w:hAnsi="宋体" w:hint="eastAsia"/>
                <w:sz w:val="24"/>
              </w:rPr>
              <w:t>拟派服务团队：</w:t>
            </w:r>
          </w:p>
          <w:p w14:paraId="0D9D3605" w14:textId="60BAD00C" w:rsidR="00336221" w:rsidRDefault="00336221" w:rsidP="000C2504">
            <w:pPr>
              <w:spacing w:line="360" w:lineRule="auto"/>
              <w:ind w:rightChars="-10" w:right="-21"/>
              <w:rPr>
                <w:rFonts w:ascii="宋体" w:hAnsi="宋体"/>
                <w:sz w:val="24"/>
              </w:rPr>
            </w:pPr>
            <w:r>
              <w:rPr>
                <w:rFonts w:ascii="宋体" w:hAnsi="宋体" w:hint="eastAsia"/>
                <w:sz w:val="24"/>
              </w:rPr>
              <w:t>维修人员具有特种设备作业人员资格证书的，1个得2分，本项最高得6分。</w:t>
            </w:r>
          </w:p>
        </w:tc>
        <w:tc>
          <w:tcPr>
            <w:tcW w:w="1126" w:type="dxa"/>
            <w:tcBorders>
              <w:bottom w:val="single" w:sz="4" w:space="0" w:color="auto"/>
            </w:tcBorders>
            <w:vAlign w:val="center"/>
          </w:tcPr>
          <w:p w14:paraId="632E157C" w14:textId="3EBA43F2" w:rsidR="00336221" w:rsidRDefault="00336221" w:rsidP="00EE514E">
            <w:pPr>
              <w:spacing w:line="360" w:lineRule="auto"/>
              <w:jc w:val="center"/>
              <w:rPr>
                <w:rFonts w:ascii="宋体" w:hAnsi="宋体"/>
                <w:sz w:val="24"/>
              </w:rPr>
            </w:pPr>
            <w:r>
              <w:rPr>
                <w:rFonts w:ascii="宋体" w:hAnsi="宋体" w:hint="eastAsia"/>
                <w:sz w:val="24"/>
              </w:rPr>
              <w:t>0</w:t>
            </w:r>
            <w:r w:rsidR="000C2504">
              <w:rPr>
                <w:rFonts w:ascii="宋体" w:hAnsi="宋体" w:hint="eastAsia"/>
                <w:sz w:val="24"/>
              </w:rPr>
              <w:t>-6</w:t>
            </w:r>
            <w:r>
              <w:rPr>
                <w:rFonts w:ascii="宋体" w:hAnsi="宋体" w:hint="eastAsia"/>
                <w:sz w:val="24"/>
              </w:rPr>
              <w:t>分</w:t>
            </w:r>
          </w:p>
        </w:tc>
      </w:tr>
      <w:tr w:rsidR="00336221" w14:paraId="14541818" w14:textId="77777777" w:rsidTr="00EE514E">
        <w:trPr>
          <w:trHeight w:val="327"/>
        </w:trPr>
        <w:tc>
          <w:tcPr>
            <w:tcW w:w="939" w:type="dxa"/>
            <w:tcBorders>
              <w:right w:val="single" w:sz="4" w:space="0" w:color="auto"/>
            </w:tcBorders>
          </w:tcPr>
          <w:p w14:paraId="3520A9A4"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10</w:t>
            </w:r>
          </w:p>
        </w:tc>
        <w:tc>
          <w:tcPr>
            <w:tcW w:w="6582" w:type="dxa"/>
            <w:tcBorders>
              <w:top w:val="single" w:sz="4" w:space="0" w:color="auto"/>
              <w:left w:val="single" w:sz="4" w:space="0" w:color="auto"/>
              <w:bottom w:val="single" w:sz="4" w:space="0" w:color="auto"/>
              <w:right w:val="single" w:sz="4" w:space="0" w:color="auto"/>
            </w:tcBorders>
            <w:vAlign w:val="center"/>
          </w:tcPr>
          <w:p w14:paraId="4118B57F" w14:textId="77777777" w:rsidR="00336221" w:rsidRDefault="00336221" w:rsidP="00EE514E">
            <w:pPr>
              <w:spacing w:line="360" w:lineRule="auto"/>
              <w:ind w:rightChars="-10" w:right="-21"/>
              <w:rPr>
                <w:rFonts w:ascii="宋体" w:hAnsi="宋体" w:cs="宋体"/>
                <w:kern w:val="0"/>
                <w:sz w:val="24"/>
                <w:lang w:bidi="ar"/>
              </w:rPr>
            </w:pPr>
            <w:r>
              <w:rPr>
                <w:rFonts w:ascii="宋体" w:hAnsi="宋体" w:hint="eastAsia"/>
                <w:sz w:val="24"/>
              </w:rPr>
              <w:t>立体停车设备保养和维修记录满足要求，内容全面、科学。</w:t>
            </w:r>
          </w:p>
        </w:tc>
        <w:tc>
          <w:tcPr>
            <w:tcW w:w="1126" w:type="dxa"/>
            <w:tcBorders>
              <w:top w:val="single" w:sz="4" w:space="0" w:color="auto"/>
              <w:left w:val="single" w:sz="4" w:space="0" w:color="auto"/>
              <w:bottom w:val="single" w:sz="4" w:space="0" w:color="auto"/>
              <w:right w:val="single" w:sz="4" w:space="0" w:color="auto"/>
            </w:tcBorders>
            <w:vAlign w:val="center"/>
          </w:tcPr>
          <w:p w14:paraId="6BF79676" w14:textId="3A545F3D" w:rsidR="00336221" w:rsidRDefault="009E4151" w:rsidP="00EE514E">
            <w:pPr>
              <w:spacing w:line="360" w:lineRule="auto"/>
              <w:jc w:val="center"/>
              <w:rPr>
                <w:rFonts w:ascii="宋体" w:hAnsi="宋体"/>
                <w:sz w:val="24"/>
              </w:rPr>
            </w:pPr>
            <w:r>
              <w:rPr>
                <w:rFonts w:ascii="宋体" w:hAnsi="宋体" w:hint="eastAsia"/>
                <w:sz w:val="24"/>
              </w:rPr>
              <w:t>0-3</w:t>
            </w:r>
            <w:r w:rsidR="00336221">
              <w:rPr>
                <w:rFonts w:ascii="宋体" w:hAnsi="宋体" w:hint="eastAsia"/>
                <w:sz w:val="24"/>
              </w:rPr>
              <w:t>分</w:t>
            </w:r>
          </w:p>
        </w:tc>
      </w:tr>
      <w:tr w:rsidR="00336221" w14:paraId="35D5D905" w14:textId="77777777" w:rsidTr="00EE514E">
        <w:trPr>
          <w:trHeight w:val="327"/>
        </w:trPr>
        <w:tc>
          <w:tcPr>
            <w:tcW w:w="939" w:type="dxa"/>
            <w:tcBorders>
              <w:right w:val="single" w:sz="4" w:space="0" w:color="auto"/>
            </w:tcBorders>
          </w:tcPr>
          <w:p w14:paraId="792D017E"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11</w:t>
            </w:r>
          </w:p>
        </w:tc>
        <w:tc>
          <w:tcPr>
            <w:tcW w:w="6582" w:type="dxa"/>
            <w:tcBorders>
              <w:top w:val="single" w:sz="4" w:space="0" w:color="auto"/>
              <w:left w:val="single" w:sz="4" w:space="0" w:color="auto"/>
              <w:bottom w:val="single" w:sz="4" w:space="0" w:color="auto"/>
              <w:right w:val="single" w:sz="4" w:space="0" w:color="auto"/>
            </w:tcBorders>
            <w:vAlign w:val="center"/>
          </w:tcPr>
          <w:p w14:paraId="4E9F487E" w14:textId="77777777" w:rsidR="00336221" w:rsidRDefault="00336221" w:rsidP="00EE514E">
            <w:pPr>
              <w:snapToGrid w:val="0"/>
              <w:spacing w:line="360" w:lineRule="auto"/>
              <w:jc w:val="left"/>
              <w:rPr>
                <w:rFonts w:ascii="宋体" w:hAnsi="宋体"/>
                <w:sz w:val="24"/>
              </w:rPr>
            </w:pPr>
            <w:r>
              <w:rPr>
                <w:rFonts w:ascii="宋体" w:hAnsi="宋体" w:hint="eastAsia"/>
                <w:sz w:val="24"/>
              </w:rPr>
              <w:t>现场组织管理：立体停车设备维保的实施过程中，现场人员管理方案严谨、可实施性强。</w:t>
            </w:r>
          </w:p>
        </w:tc>
        <w:tc>
          <w:tcPr>
            <w:tcW w:w="1126" w:type="dxa"/>
            <w:tcBorders>
              <w:top w:val="single" w:sz="4" w:space="0" w:color="auto"/>
              <w:left w:val="single" w:sz="4" w:space="0" w:color="auto"/>
              <w:bottom w:val="single" w:sz="4" w:space="0" w:color="auto"/>
              <w:right w:val="single" w:sz="4" w:space="0" w:color="auto"/>
            </w:tcBorders>
            <w:vAlign w:val="center"/>
          </w:tcPr>
          <w:p w14:paraId="4FACDE38" w14:textId="639A1C5B" w:rsidR="00336221" w:rsidRDefault="00336221" w:rsidP="000C2504">
            <w:pPr>
              <w:spacing w:line="360" w:lineRule="auto"/>
              <w:ind w:rightChars="-10" w:right="-21"/>
              <w:jc w:val="center"/>
              <w:rPr>
                <w:rFonts w:ascii="宋体" w:hAnsi="宋体"/>
                <w:sz w:val="24"/>
              </w:rPr>
            </w:pPr>
            <w:r>
              <w:rPr>
                <w:rFonts w:ascii="宋体" w:hAnsi="宋体" w:hint="eastAsia"/>
                <w:sz w:val="24"/>
              </w:rPr>
              <w:t>0-</w:t>
            </w:r>
            <w:r w:rsidR="000C2504">
              <w:rPr>
                <w:rFonts w:ascii="宋体" w:hAnsi="宋体"/>
                <w:sz w:val="24"/>
              </w:rPr>
              <w:t>3</w:t>
            </w:r>
            <w:r>
              <w:rPr>
                <w:rFonts w:ascii="宋体" w:hAnsi="宋体" w:hint="eastAsia"/>
                <w:sz w:val="24"/>
              </w:rPr>
              <w:t>分</w:t>
            </w:r>
          </w:p>
        </w:tc>
      </w:tr>
      <w:tr w:rsidR="00336221" w14:paraId="48C7FEB3" w14:textId="77777777" w:rsidTr="00EE514E">
        <w:trPr>
          <w:trHeight w:val="327"/>
        </w:trPr>
        <w:tc>
          <w:tcPr>
            <w:tcW w:w="939" w:type="dxa"/>
          </w:tcPr>
          <w:p w14:paraId="02BA13B7" w14:textId="77777777" w:rsidR="00336221" w:rsidRDefault="00336221" w:rsidP="00EE514E">
            <w:pPr>
              <w:spacing w:beforeLines="50" w:before="156" w:afterLines="50" w:after="156" w:line="276" w:lineRule="auto"/>
              <w:jc w:val="center"/>
              <w:rPr>
                <w:rFonts w:ascii="宋体" w:hAnsi="宋体"/>
                <w:sz w:val="24"/>
              </w:rPr>
            </w:pPr>
            <w:r>
              <w:rPr>
                <w:rFonts w:ascii="宋体" w:hAnsi="宋体" w:hint="eastAsia"/>
                <w:sz w:val="24"/>
              </w:rPr>
              <w:t>13</w:t>
            </w:r>
          </w:p>
        </w:tc>
        <w:tc>
          <w:tcPr>
            <w:tcW w:w="6582" w:type="dxa"/>
            <w:vAlign w:val="center"/>
          </w:tcPr>
          <w:p w14:paraId="379310EC" w14:textId="77777777" w:rsidR="00336221" w:rsidRDefault="00336221" w:rsidP="00EE514E">
            <w:pPr>
              <w:spacing w:line="360" w:lineRule="auto"/>
              <w:ind w:rightChars="-10" w:right="-21"/>
              <w:rPr>
                <w:rFonts w:ascii="宋体" w:hAnsi="宋体"/>
                <w:sz w:val="24"/>
              </w:rPr>
            </w:pPr>
            <w:r>
              <w:rPr>
                <w:rFonts w:ascii="宋体" w:hAnsi="宋体" w:hint="eastAsia"/>
                <w:sz w:val="24"/>
              </w:rPr>
              <w:t>合理化建议和其他优惠承诺。</w:t>
            </w:r>
          </w:p>
        </w:tc>
        <w:tc>
          <w:tcPr>
            <w:tcW w:w="1126" w:type="dxa"/>
            <w:vAlign w:val="center"/>
          </w:tcPr>
          <w:p w14:paraId="1FFD057B" w14:textId="77777777" w:rsidR="00336221" w:rsidRDefault="00336221" w:rsidP="00EE514E">
            <w:pPr>
              <w:spacing w:line="360" w:lineRule="auto"/>
              <w:ind w:rightChars="-10" w:right="-21"/>
              <w:jc w:val="center"/>
              <w:rPr>
                <w:rFonts w:ascii="宋体" w:hAnsi="宋体"/>
                <w:sz w:val="24"/>
              </w:rPr>
            </w:pPr>
            <w:r>
              <w:rPr>
                <w:rFonts w:ascii="宋体" w:hAnsi="宋体" w:hint="eastAsia"/>
                <w:sz w:val="24"/>
              </w:rPr>
              <w:t>0-3分</w:t>
            </w:r>
          </w:p>
        </w:tc>
      </w:tr>
      <w:tr w:rsidR="00336221" w14:paraId="47B3AF09" w14:textId="77777777" w:rsidTr="00EE514E">
        <w:tc>
          <w:tcPr>
            <w:tcW w:w="939" w:type="dxa"/>
          </w:tcPr>
          <w:p w14:paraId="3B82E9A7" w14:textId="77777777" w:rsidR="00336221" w:rsidRDefault="00336221" w:rsidP="00EE514E">
            <w:pPr>
              <w:spacing w:beforeLines="50" w:before="156" w:afterLines="50" w:after="156"/>
              <w:jc w:val="center"/>
              <w:rPr>
                <w:rFonts w:ascii="宋体" w:hAnsi="宋体"/>
                <w:bCs/>
                <w:sz w:val="24"/>
              </w:rPr>
            </w:pPr>
            <w:r>
              <w:rPr>
                <w:rFonts w:ascii="宋体" w:hAnsi="宋体"/>
                <w:sz w:val="24"/>
              </w:rPr>
              <w:t>（</w:t>
            </w:r>
            <w:r>
              <w:rPr>
                <w:rFonts w:ascii="宋体" w:hAnsi="宋体" w:hint="eastAsia"/>
                <w:sz w:val="24"/>
              </w:rPr>
              <w:t>三</w:t>
            </w:r>
            <w:r>
              <w:rPr>
                <w:rFonts w:ascii="宋体" w:hAnsi="宋体"/>
                <w:sz w:val="24"/>
              </w:rPr>
              <w:t>）</w:t>
            </w:r>
          </w:p>
        </w:tc>
        <w:tc>
          <w:tcPr>
            <w:tcW w:w="6582" w:type="dxa"/>
          </w:tcPr>
          <w:p w14:paraId="284A703B" w14:textId="77777777" w:rsidR="00336221" w:rsidRDefault="00336221" w:rsidP="00EE514E">
            <w:pPr>
              <w:spacing w:beforeLines="50" w:before="156" w:afterLines="50" w:after="156" w:line="360" w:lineRule="auto"/>
              <w:rPr>
                <w:rFonts w:hAnsi="宋体"/>
                <w:bCs/>
                <w:sz w:val="24"/>
              </w:rPr>
            </w:pPr>
            <w:r>
              <w:rPr>
                <w:rFonts w:hAnsi="宋体"/>
                <w:bCs/>
                <w:sz w:val="24"/>
              </w:rPr>
              <w:t>价格</w:t>
            </w:r>
            <w:r>
              <w:rPr>
                <w:rFonts w:hAnsi="宋体" w:hint="eastAsia"/>
                <w:bCs/>
                <w:sz w:val="24"/>
              </w:rPr>
              <w:t>部分</w:t>
            </w:r>
          </w:p>
          <w:p w14:paraId="4AC042A0" w14:textId="77777777" w:rsidR="00336221" w:rsidRDefault="00336221" w:rsidP="00EE514E">
            <w:pPr>
              <w:spacing w:beforeLines="50" w:before="156" w:afterLines="50" w:after="156" w:line="360" w:lineRule="auto"/>
              <w:rPr>
                <w:rFonts w:ascii="宋体" w:hAnsi="宋体"/>
                <w:bCs/>
                <w:spacing w:val="-4"/>
                <w:sz w:val="24"/>
              </w:rPr>
            </w:pPr>
            <w:r>
              <w:rPr>
                <w:rFonts w:ascii="宋体" w:hAnsi="宋体" w:hint="eastAsia"/>
                <w:bCs/>
                <w:spacing w:val="-4"/>
                <w:sz w:val="24"/>
              </w:rPr>
              <w:t>价格分采用低价优先法计算，即满足招标文件要求且投标价格最低的投标报价为评标基准价，其价格分为满分。其他投标人的价格分按照下列公式计算：</w:t>
            </w:r>
          </w:p>
          <w:p w14:paraId="4CC8E0FF" w14:textId="77777777" w:rsidR="00336221" w:rsidRDefault="00336221" w:rsidP="00EE514E">
            <w:pPr>
              <w:spacing w:beforeLines="50" w:before="156" w:afterLines="50" w:after="156" w:line="360" w:lineRule="auto"/>
              <w:rPr>
                <w:rFonts w:ascii="宋体" w:hAnsi="宋体"/>
                <w:bCs/>
                <w:sz w:val="24"/>
              </w:rPr>
            </w:pPr>
            <w:r>
              <w:rPr>
                <w:rFonts w:ascii="宋体" w:hAnsi="宋体" w:hint="eastAsia"/>
                <w:sz w:val="24"/>
              </w:rPr>
              <w:t>价格分=（评标基准价/投标报价）×</w:t>
            </w:r>
            <w:r>
              <w:rPr>
                <w:rFonts w:ascii="宋体" w:hAnsi="宋体" w:hint="eastAsia"/>
                <w:sz w:val="24"/>
                <w:u w:val="single"/>
              </w:rPr>
              <w:t>15</w:t>
            </w:r>
            <w:r>
              <w:rPr>
                <w:rFonts w:ascii="宋体" w:hAnsi="宋体" w:hint="eastAsia"/>
                <w:sz w:val="24"/>
              </w:rPr>
              <w:t>%×100</w:t>
            </w:r>
          </w:p>
        </w:tc>
        <w:tc>
          <w:tcPr>
            <w:tcW w:w="1126" w:type="dxa"/>
            <w:vAlign w:val="center"/>
          </w:tcPr>
          <w:p w14:paraId="516C6D8E" w14:textId="0CB47F9C" w:rsidR="00336221" w:rsidRDefault="000C2504" w:rsidP="00EE514E">
            <w:pPr>
              <w:spacing w:beforeLines="50" w:before="156" w:afterLines="50" w:after="156"/>
              <w:jc w:val="center"/>
              <w:rPr>
                <w:rFonts w:ascii="宋体" w:hAnsi="宋体"/>
                <w:bCs/>
                <w:sz w:val="24"/>
              </w:rPr>
            </w:pPr>
            <w:r>
              <w:rPr>
                <w:rFonts w:hAnsi="宋体"/>
                <w:bCs/>
                <w:sz w:val="24"/>
                <w:u w:val="single"/>
              </w:rPr>
              <w:t>30</w:t>
            </w:r>
            <w:r w:rsidR="00336221">
              <w:rPr>
                <w:rFonts w:hAnsi="宋体"/>
                <w:bCs/>
                <w:sz w:val="24"/>
              </w:rPr>
              <w:t>分</w:t>
            </w:r>
          </w:p>
        </w:tc>
      </w:tr>
    </w:tbl>
    <w:p w14:paraId="06D4C508" w14:textId="5F583E72" w:rsidR="005C18CB" w:rsidRDefault="005C18CB" w:rsidP="00336221">
      <w:pPr>
        <w:tabs>
          <w:tab w:val="left" w:pos="3780"/>
        </w:tabs>
        <w:jc w:val="center"/>
        <w:rPr>
          <w:rFonts w:ascii="仿宋_GB2312" w:eastAsia="仿宋_GB2312" w:hAnsi="仿宋_GB2312" w:cs="仿宋_GB2312"/>
          <w:b/>
          <w:bCs/>
          <w:sz w:val="44"/>
          <w:szCs w:val="44"/>
        </w:rPr>
      </w:pPr>
    </w:p>
    <w:sectPr w:rsidR="005C18CB">
      <w:pgSz w:w="11906" w:h="16838"/>
      <w:pgMar w:top="1383" w:right="1576" w:bottom="1440" w:left="1576"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DBE08" w14:textId="77777777" w:rsidR="00750E7A" w:rsidRDefault="00750E7A" w:rsidP="00BD6E32">
      <w:r>
        <w:separator/>
      </w:r>
    </w:p>
  </w:endnote>
  <w:endnote w:type="continuationSeparator" w:id="0">
    <w:p w14:paraId="46BFCF6F" w14:textId="77777777" w:rsidR="00750E7A" w:rsidRDefault="00750E7A" w:rsidP="00BD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7C762" w14:textId="77777777" w:rsidR="00750E7A" w:rsidRDefault="00750E7A" w:rsidP="00BD6E32">
      <w:r>
        <w:separator/>
      </w:r>
    </w:p>
  </w:footnote>
  <w:footnote w:type="continuationSeparator" w:id="0">
    <w:p w14:paraId="4060F671" w14:textId="77777777" w:rsidR="00750E7A" w:rsidRDefault="00750E7A" w:rsidP="00BD6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97C1F2"/>
    <w:multiLevelType w:val="singleLevel"/>
    <w:tmpl w:val="5F97C1F2"/>
    <w:lvl w:ilvl="0">
      <w:start w:val="1"/>
      <w:numFmt w:val="decimal"/>
      <w:suff w:val="nothing"/>
      <w:lvlText w:val="（%1）"/>
      <w:lvlJc w:val="left"/>
    </w:lvl>
  </w:abstractNum>
  <w:abstractNum w:abstractNumId="1" w15:restartNumberingAfterBreak="0">
    <w:nsid w:val="5F97C27E"/>
    <w:multiLevelType w:val="singleLevel"/>
    <w:tmpl w:val="5F97C27E"/>
    <w:lvl w:ilvl="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8CB"/>
    <w:rsid w:val="000A32C8"/>
    <w:rsid w:val="000C2504"/>
    <w:rsid w:val="00336221"/>
    <w:rsid w:val="005611F7"/>
    <w:rsid w:val="005C18CB"/>
    <w:rsid w:val="00705E9A"/>
    <w:rsid w:val="00750E7A"/>
    <w:rsid w:val="0077030D"/>
    <w:rsid w:val="00983DFD"/>
    <w:rsid w:val="009E4151"/>
    <w:rsid w:val="00A646CD"/>
    <w:rsid w:val="00BD6E32"/>
    <w:rsid w:val="00E30E77"/>
    <w:rsid w:val="00E37E64"/>
    <w:rsid w:val="00F40D6A"/>
    <w:rsid w:val="03123C4A"/>
    <w:rsid w:val="0F091190"/>
    <w:rsid w:val="11D87737"/>
    <w:rsid w:val="14A16A4A"/>
    <w:rsid w:val="17D65B73"/>
    <w:rsid w:val="23CB109D"/>
    <w:rsid w:val="252B5FDD"/>
    <w:rsid w:val="278F158C"/>
    <w:rsid w:val="2B190319"/>
    <w:rsid w:val="2B7B18F7"/>
    <w:rsid w:val="30A92239"/>
    <w:rsid w:val="55375FCD"/>
    <w:rsid w:val="56D108F6"/>
    <w:rsid w:val="627F2564"/>
    <w:rsid w:val="629E7F76"/>
    <w:rsid w:val="65626A9C"/>
    <w:rsid w:val="6B4F0D55"/>
    <w:rsid w:val="6CDD62E6"/>
    <w:rsid w:val="6F686191"/>
    <w:rsid w:val="75B76A47"/>
    <w:rsid w:val="775A74FC"/>
    <w:rsid w:val="79EB33F7"/>
    <w:rsid w:val="7CC67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E99E30"/>
  <w15:docId w15:val="{FCE8A4A1-6FE8-4094-BBAE-932FCB4C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Body Text First Indent"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qFormat/>
    <w:pPr>
      <w:ind w:firstLineChars="100" w:firstLine="420"/>
    </w:pPr>
    <w:rPr>
      <w:rFonts w:eastAsia="仿宋_GB2312"/>
    </w:rPr>
  </w:style>
  <w:style w:type="paragraph" w:styleId="a4">
    <w:name w:val="Body Text"/>
    <w:basedOn w:val="a"/>
    <w:pPr>
      <w:spacing w:after="120"/>
    </w:pPr>
  </w:style>
  <w:style w:type="paragraph" w:styleId="a5">
    <w:name w:val="Plain Text"/>
    <w:basedOn w:val="a"/>
    <w:qFormat/>
    <w:rPr>
      <w:rFonts w:ascii="宋体" w:hAnsi="Courier New"/>
      <w:szCs w:val="20"/>
    </w:rPr>
  </w:style>
  <w:style w:type="paragraph" w:customStyle="1" w:styleId="1">
    <w:name w:val="列出段落1"/>
    <w:basedOn w:val="a"/>
    <w:qFormat/>
    <w:pPr>
      <w:ind w:firstLineChars="200" w:firstLine="420"/>
    </w:pPr>
  </w:style>
  <w:style w:type="paragraph" w:customStyle="1" w:styleId="Style1">
    <w:name w:val="_Style 1"/>
    <w:qFormat/>
    <w:pPr>
      <w:widowControl w:val="0"/>
      <w:jc w:val="both"/>
    </w:pPr>
    <w:rPr>
      <w:rFonts w:cs="Calibri"/>
      <w:kern w:val="2"/>
      <w:sz w:val="21"/>
      <w:szCs w:val="22"/>
    </w:rPr>
  </w:style>
  <w:style w:type="paragraph" w:customStyle="1" w:styleId="10">
    <w:name w:val="无间隔1"/>
    <w:qFormat/>
    <w:pPr>
      <w:widowControl w:val="0"/>
      <w:jc w:val="both"/>
    </w:pPr>
    <w:rPr>
      <w:kern w:val="2"/>
      <w:sz w:val="21"/>
      <w:szCs w:val="22"/>
    </w:rPr>
  </w:style>
  <w:style w:type="paragraph" w:styleId="a6">
    <w:name w:val="header"/>
    <w:basedOn w:val="a"/>
    <w:link w:val="a7"/>
    <w:rsid w:val="00BD6E3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BD6E32"/>
    <w:rPr>
      <w:kern w:val="2"/>
      <w:sz w:val="18"/>
      <w:szCs w:val="18"/>
    </w:rPr>
  </w:style>
  <w:style w:type="paragraph" w:styleId="a8">
    <w:name w:val="footer"/>
    <w:basedOn w:val="a"/>
    <w:link w:val="a9"/>
    <w:rsid w:val="00BD6E32"/>
    <w:pPr>
      <w:tabs>
        <w:tab w:val="center" w:pos="4153"/>
        <w:tab w:val="right" w:pos="8306"/>
      </w:tabs>
      <w:snapToGrid w:val="0"/>
      <w:jc w:val="left"/>
    </w:pPr>
    <w:rPr>
      <w:sz w:val="18"/>
      <w:szCs w:val="18"/>
    </w:rPr>
  </w:style>
  <w:style w:type="character" w:customStyle="1" w:styleId="a9">
    <w:name w:val="页脚 字符"/>
    <w:basedOn w:val="a0"/>
    <w:link w:val="a8"/>
    <w:rsid w:val="00BD6E3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葛 琦</cp:lastModifiedBy>
  <cp:revision>4</cp:revision>
  <dcterms:created xsi:type="dcterms:W3CDTF">2021-11-08T02:13:00Z</dcterms:created>
  <dcterms:modified xsi:type="dcterms:W3CDTF">2021-11-19T01:53:00Z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